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7C7D" w14:textId="345CF085" w:rsidR="007B5A2E" w:rsidRPr="001E62C6" w:rsidRDefault="007B5A2E" w:rsidP="007B5A2E">
      <w:pPr>
        <w:spacing w:line="276" w:lineRule="auto"/>
        <w:ind w:right="-1"/>
        <w:rPr>
          <w:rFonts w:cs="Adobe Arabic"/>
          <w:b/>
          <w:sz w:val="24"/>
          <w:lang w:val="it-IT"/>
        </w:rPr>
      </w:pPr>
      <w:r w:rsidRPr="001E62C6">
        <w:rPr>
          <w:rFonts w:cs="Adobe Arabic"/>
          <w:b/>
          <w:sz w:val="24"/>
          <w:lang w:val="it-IT"/>
        </w:rPr>
        <w:t xml:space="preserve">Empower Productivity: </w:t>
      </w:r>
      <w:r w:rsidR="007C6A68" w:rsidRPr="001E62C6">
        <w:rPr>
          <w:rFonts w:cs="Adobe Arabic"/>
          <w:b/>
          <w:sz w:val="24"/>
          <w:lang w:val="it-IT"/>
        </w:rPr>
        <w:t>g</w:t>
      </w:r>
      <w:r w:rsidRPr="001E62C6">
        <w:rPr>
          <w:rFonts w:cs="Adobe Arabic"/>
          <w:b/>
          <w:sz w:val="24"/>
          <w:lang w:val="it-IT"/>
        </w:rPr>
        <w:t>li encoder di HEIDENHAIN CORPORATE GROUP per l’ottimale motor feedback aumentano produttività, sicurezza e qualità ad ogni livello di automazione</w:t>
      </w:r>
    </w:p>
    <w:p w14:paraId="5BCF425C" w14:textId="77777777" w:rsidR="00EB4C6E" w:rsidRPr="001B374E" w:rsidRDefault="00EB4C6E" w:rsidP="00EB4C6E">
      <w:pPr>
        <w:spacing w:line="276" w:lineRule="auto"/>
        <w:ind w:right="140"/>
        <w:rPr>
          <w:rFonts w:cs="Adobe Arabic"/>
        </w:rPr>
      </w:pPr>
    </w:p>
    <w:p w14:paraId="7EEB2923" w14:textId="4C9B3749" w:rsidR="00255D1C" w:rsidRPr="00255D1C" w:rsidRDefault="00255D1C" w:rsidP="00255D1C">
      <w:pPr>
        <w:spacing w:line="276" w:lineRule="auto"/>
        <w:ind w:right="140"/>
        <w:rPr>
          <w:rFonts w:cs="Adobe Arabic"/>
          <w:i/>
          <w:lang w:val="it-IT"/>
        </w:rPr>
      </w:pPr>
      <w:r w:rsidRPr="00255D1C">
        <w:rPr>
          <w:rFonts w:cs="Adobe Arabic"/>
          <w:i/>
          <w:lang w:val="it-IT"/>
        </w:rPr>
        <w:t xml:space="preserve">In occasione di SPS Italia 2026, HEIDENHAIN e i marchi AMO, ETEL, LEINE LINDE, LTN, NUMERIK JENA, RENCO e RSF presenteranno soluzioni innovative per il motor feedback </w:t>
      </w:r>
      <w:r>
        <w:rPr>
          <w:rFonts w:cs="Adobe Arabic"/>
          <w:i/>
          <w:lang w:val="it-IT"/>
        </w:rPr>
        <w:t xml:space="preserve">per </w:t>
      </w:r>
      <w:r w:rsidRPr="00255D1C">
        <w:rPr>
          <w:rFonts w:cs="Adobe Arabic"/>
          <w:i/>
          <w:lang w:val="it-IT"/>
        </w:rPr>
        <w:t>l’automazione e la robotica.</w:t>
      </w:r>
      <w:r>
        <w:rPr>
          <w:rFonts w:cs="Adobe Arabic"/>
          <w:i/>
          <w:lang w:val="it-IT"/>
        </w:rPr>
        <w:t xml:space="preserve"> </w:t>
      </w:r>
      <w:r w:rsidRPr="00255D1C">
        <w:rPr>
          <w:rFonts w:cs="Adobe Arabic"/>
          <w:i/>
          <w:lang w:val="it-IT"/>
        </w:rPr>
        <w:t xml:space="preserve">Tra le novità allo stand HEIDENHAIN figurano il robusto sistema di misura </w:t>
      </w:r>
      <w:r>
        <w:rPr>
          <w:rFonts w:cs="Adobe Arabic"/>
          <w:i/>
          <w:lang w:val="it-IT"/>
        </w:rPr>
        <w:t xml:space="preserve">lineare </w:t>
      </w:r>
      <w:r w:rsidRPr="00255D1C">
        <w:rPr>
          <w:rFonts w:cs="Adobe Arabic"/>
          <w:i/>
          <w:lang w:val="it-IT"/>
        </w:rPr>
        <w:t>induttivo ILC 3019 HEIDENHAIN e gli encoder rotativi incrementali della serie 600 LEINE LINDE.</w:t>
      </w:r>
      <w:r>
        <w:rPr>
          <w:rFonts w:cs="Adobe Arabic"/>
          <w:i/>
          <w:lang w:val="it-IT"/>
        </w:rPr>
        <w:t xml:space="preserve"> </w:t>
      </w:r>
      <w:r w:rsidRPr="00255D1C">
        <w:rPr>
          <w:rFonts w:cs="Adobe Arabic"/>
          <w:i/>
          <w:lang w:val="it-IT"/>
        </w:rPr>
        <w:t xml:space="preserve">Inoltre, HEIDENHAIN </w:t>
      </w:r>
      <w:r>
        <w:rPr>
          <w:rFonts w:cs="Adobe Arabic"/>
          <w:i/>
          <w:lang w:val="it-IT"/>
        </w:rPr>
        <w:t xml:space="preserve">CORPORATE GROUP </w:t>
      </w:r>
      <w:r w:rsidRPr="00255D1C">
        <w:rPr>
          <w:rFonts w:cs="Adobe Arabic"/>
          <w:i/>
          <w:lang w:val="it-IT"/>
        </w:rPr>
        <w:t xml:space="preserve">presenterà la piattaforma versatile e completamente compatibile degli encoder rotativi induttivi ECI ed EQI HEIDENHAIN, gli encoder LEINE LINDE per applicazioni </w:t>
      </w:r>
      <w:r>
        <w:rPr>
          <w:rFonts w:cs="Adobe Arabic"/>
          <w:i/>
          <w:lang w:val="it-IT"/>
        </w:rPr>
        <w:t>Functional Safety</w:t>
      </w:r>
      <w:r w:rsidRPr="00255D1C">
        <w:rPr>
          <w:rFonts w:cs="Adobe Arabic"/>
          <w:i/>
          <w:lang w:val="it-IT"/>
        </w:rPr>
        <w:t xml:space="preserve">, i </w:t>
      </w:r>
      <w:r>
        <w:rPr>
          <w:rFonts w:cs="Adobe Arabic"/>
          <w:i/>
          <w:lang w:val="it-IT"/>
        </w:rPr>
        <w:t>d</w:t>
      </w:r>
      <w:r w:rsidRPr="00255D1C">
        <w:rPr>
          <w:rFonts w:cs="Adobe Arabic"/>
          <w:i/>
          <w:lang w:val="it-IT"/>
        </w:rPr>
        <w:t xml:space="preserve">ual </w:t>
      </w:r>
      <w:r>
        <w:rPr>
          <w:rFonts w:cs="Adobe Arabic"/>
          <w:i/>
          <w:lang w:val="it-IT"/>
        </w:rPr>
        <w:t>e</w:t>
      </w:r>
      <w:r w:rsidRPr="00255D1C">
        <w:rPr>
          <w:rFonts w:cs="Adobe Arabic"/>
          <w:i/>
          <w:lang w:val="it-IT"/>
        </w:rPr>
        <w:t>ncoder HEIDENHAIN e i Secondary Encoder dei marchi AMO e RSF per la robotica avanzata, gli encoder HEIDENHAIN ECI 1323 Splus ed EQI 1335 Splus con analisi delle vibrazioni, oltre a molte altre soluzioni per l’automazione e la robotica.</w:t>
      </w:r>
    </w:p>
    <w:p w14:paraId="428FC0CD" w14:textId="77777777" w:rsidR="00EB4C6E" w:rsidRPr="00255D1C" w:rsidRDefault="00EB4C6E" w:rsidP="00EB4C6E">
      <w:pPr>
        <w:spacing w:line="276" w:lineRule="auto"/>
        <w:ind w:right="140"/>
        <w:rPr>
          <w:rFonts w:cs="Adobe Arabic"/>
          <w:i/>
          <w:lang w:val="it-IT"/>
        </w:rPr>
      </w:pPr>
    </w:p>
    <w:p w14:paraId="486A152F" w14:textId="7CEC90F9" w:rsidR="002B1591" w:rsidRPr="001611FD" w:rsidRDefault="002B1591" w:rsidP="002B1591">
      <w:pPr>
        <w:spacing w:line="276" w:lineRule="auto"/>
        <w:ind w:right="140"/>
        <w:rPr>
          <w:rFonts w:cs="Adobe Arabic"/>
          <w:b/>
          <w:bCs/>
          <w:lang w:val="it-IT"/>
        </w:rPr>
      </w:pPr>
      <w:bookmarkStart w:id="0" w:name="_Hlk227754196"/>
      <w:bookmarkStart w:id="1" w:name="_Hlk227772434"/>
      <w:r w:rsidRPr="001611FD">
        <w:rPr>
          <w:rFonts w:cs="Adobe Arabic"/>
          <w:b/>
          <w:bCs/>
          <w:lang w:val="it-IT"/>
        </w:rPr>
        <w:t>Novità per la misura di posizione lineare: il robusto ILC 3019 HEIDENHAIN</w:t>
      </w:r>
    </w:p>
    <w:p w14:paraId="28BB7E33" w14:textId="216CCCE6" w:rsidR="002B1591" w:rsidRPr="001611FD" w:rsidRDefault="008849A8" w:rsidP="002B1591">
      <w:pPr>
        <w:spacing w:line="276" w:lineRule="auto"/>
        <w:ind w:right="140"/>
        <w:rPr>
          <w:rFonts w:cs="Adobe Arabic"/>
          <w:lang w:val="it-IT"/>
        </w:rPr>
      </w:pPr>
      <w:r w:rsidRPr="00364185">
        <w:rPr>
          <w:rFonts w:cs="Adobe Arabic"/>
          <w:lang w:val="it-IT"/>
        </w:rPr>
        <w:t xml:space="preserve">Il nuovo </w:t>
      </w:r>
      <w:r w:rsidR="002B1591" w:rsidRPr="00364185">
        <w:rPr>
          <w:rFonts w:cs="Adobe Arabic"/>
          <w:lang w:val="it-IT"/>
        </w:rPr>
        <w:t>ILC 3019</w:t>
      </w:r>
      <w:r w:rsidR="002B1591" w:rsidRPr="001611FD">
        <w:rPr>
          <w:rFonts w:cs="Adobe Arabic"/>
          <w:lang w:val="it-IT"/>
        </w:rPr>
        <w:t xml:space="preserve"> HEIDENHAIN è un sistema di misura lineare aperto induttivo progettato per impianti di automazione particolarmente esposti a contaminazioni o campi magnetici. L’elevata robustezza della scansione induttiva garantisce, anche in queste condizioni gravose, una misura di posizione affidabile lungo gli assi lineari.</w:t>
      </w:r>
    </w:p>
    <w:p w14:paraId="3BE52100" w14:textId="77777777" w:rsidR="002B1591" w:rsidRPr="001611FD" w:rsidRDefault="002B1591" w:rsidP="002B1591">
      <w:pPr>
        <w:spacing w:line="276" w:lineRule="auto"/>
        <w:ind w:right="140"/>
        <w:rPr>
          <w:rFonts w:cs="Adobe Arabic"/>
          <w:lang w:val="it-IT"/>
        </w:rPr>
      </w:pPr>
      <w:r w:rsidRPr="001611FD">
        <w:rPr>
          <w:rFonts w:cs="Adobe Arabic"/>
          <w:lang w:val="it-IT"/>
        </w:rPr>
        <w:t>Grazie al ridotto ingombro della testina di lettura e alle ampie tolleranze di montaggio, il sistema di misura induttivo ILC 3019 è adatto a una vasta gamma di applicazioni, ad esempio come sistema di misura della corsa per motori lineari, nei sistemi di trasporto o sugli assi dei robot, per lettini paziente nella tomografia, in macchine da taglio o nelle applicazioni di presa e serraggio per l’automazione.</w:t>
      </w:r>
    </w:p>
    <w:p w14:paraId="602FD8DC" w14:textId="77777777" w:rsidR="002B1591" w:rsidRPr="001611FD" w:rsidRDefault="002B1591" w:rsidP="002B1591">
      <w:pPr>
        <w:spacing w:line="276" w:lineRule="auto"/>
        <w:ind w:right="140"/>
        <w:rPr>
          <w:rFonts w:cs="Adobe Arabic"/>
          <w:lang w:val="it-IT"/>
        </w:rPr>
      </w:pPr>
      <w:r w:rsidRPr="001611FD">
        <w:rPr>
          <w:rFonts w:cs="Adobe Arabic"/>
          <w:lang w:val="it-IT"/>
        </w:rPr>
        <w:t>L</w:t>
      </w:r>
      <w:r>
        <w:rPr>
          <w:rFonts w:cs="Adobe Arabic"/>
          <w:lang w:val="it-IT"/>
        </w:rPr>
        <w:t xml:space="preserve">a consolidata </w:t>
      </w:r>
      <w:r w:rsidRPr="001611FD">
        <w:rPr>
          <w:rFonts w:cs="Adobe Arabic"/>
          <w:lang w:val="it-IT"/>
        </w:rPr>
        <w:t>interfaccia digitale EnDat facilita l’integrazione di ILC 3019 HEIDENHAIN nei sistemi di controllo degli impianti di automazione.</w:t>
      </w:r>
    </w:p>
    <w:p w14:paraId="59E0C305" w14:textId="77777777" w:rsidR="00907494" w:rsidRPr="002B1591" w:rsidRDefault="00907494" w:rsidP="001B60CC">
      <w:pPr>
        <w:spacing w:line="276" w:lineRule="auto"/>
        <w:ind w:right="140"/>
        <w:rPr>
          <w:rFonts w:cs="Adobe Arabic"/>
          <w:lang w:val="it-IT"/>
        </w:rPr>
      </w:pPr>
    </w:p>
    <w:bookmarkEnd w:id="0"/>
    <w:p w14:paraId="5AE997D8" w14:textId="1BF2020C" w:rsidR="00C8610E" w:rsidRDefault="00C8610E" w:rsidP="00C8610E">
      <w:pPr>
        <w:spacing w:line="276" w:lineRule="auto"/>
        <w:ind w:right="140"/>
        <w:rPr>
          <w:rFonts w:cs="Adobe Arabic"/>
          <w:b/>
          <w:bCs/>
          <w:lang w:val="it-IT"/>
        </w:rPr>
      </w:pPr>
      <w:r w:rsidRPr="001611FD">
        <w:rPr>
          <w:rFonts w:cs="Adobe Arabic"/>
          <w:b/>
          <w:bCs/>
          <w:lang w:val="it-IT"/>
        </w:rPr>
        <w:t xml:space="preserve">Serie 600 LEINE LINDE: nuovi encoder incrementali induttivi per la continuità </w:t>
      </w:r>
      <w:r>
        <w:rPr>
          <w:rFonts w:cs="Adobe Arabic"/>
          <w:b/>
          <w:bCs/>
          <w:lang w:val="it-IT"/>
        </w:rPr>
        <w:t>operativa</w:t>
      </w:r>
    </w:p>
    <w:p w14:paraId="4E732B82" w14:textId="77777777" w:rsidR="00C8610E" w:rsidRPr="00D76BDB" w:rsidRDefault="00C8610E" w:rsidP="00C8610E">
      <w:pPr>
        <w:spacing w:line="276" w:lineRule="auto"/>
        <w:ind w:right="140"/>
        <w:rPr>
          <w:rFonts w:cs="Adobe Arabic"/>
          <w:lang w:val="it-IT"/>
        </w:rPr>
      </w:pPr>
      <w:r w:rsidRPr="00D76BDB">
        <w:rPr>
          <w:rFonts w:cs="Adobe Arabic"/>
          <w:lang w:val="it-IT"/>
        </w:rPr>
        <w:t>I robusti e</w:t>
      </w:r>
      <w:r>
        <w:rPr>
          <w:rFonts w:cs="Adobe Arabic"/>
          <w:lang w:val="it-IT"/>
        </w:rPr>
        <w:t xml:space="preserve"> compatti </w:t>
      </w:r>
      <w:r w:rsidRPr="00D76BDB">
        <w:rPr>
          <w:rFonts w:cs="Adobe Arabic"/>
          <w:lang w:val="it-IT"/>
        </w:rPr>
        <w:t xml:space="preserve">encoder della serie </w:t>
      </w:r>
      <w:r>
        <w:rPr>
          <w:rFonts w:cs="Adobe Arabic"/>
          <w:lang w:val="it-IT"/>
        </w:rPr>
        <w:t xml:space="preserve">600 di </w:t>
      </w:r>
      <w:r w:rsidRPr="00D76BDB">
        <w:rPr>
          <w:rFonts w:cs="Adobe Arabic"/>
          <w:lang w:val="it-IT"/>
        </w:rPr>
        <w:t xml:space="preserve">LEINE LINDE si basano su una tecnologia di scansione induttiva e sono progettati per operare in ambienti </w:t>
      </w:r>
      <w:r>
        <w:rPr>
          <w:rFonts w:cs="Adobe Arabic"/>
          <w:lang w:val="it-IT"/>
        </w:rPr>
        <w:t>gravosi</w:t>
      </w:r>
      <w:r w:rsidRPr="00D76BDB">
        <w:rPr>
          <w:rFonts w:cs="Adobe Arabic"/>
          <w:lang w:val="it-IT"/>
        </w:rPr>
        <w:t>. Con l’introduzione delle versioni incrementali, la serie 600 offre ora sia funzionalità assolute sia incrementali sulla stessa piattaforma robusta. Il risultato è una famiglia completa di encoder in grado di fornire un feedback affidabile di velocità e posizione in applicazioni industriali impegnative, dove la continuità operativa è fondamentale.</w:t>
      </w:r>
    </w:p>
    <w:p w14:paraId="0CE885A4" w14:textId="16A77B85" w:rsidR="00C8610E" w:rsidRPr="006A7A9B" w:rsidRDefault="00C8610E" w:rsidP="00C8610E">
      <w:pPr>
        <w:spacing w:line="276" w:lineRule="auto"/>
        <w:ind w:right="140"/>
        <w:rPr>
          <w:rFonts w:cs="Adobe Arabic"/>
          <w:lang w:val="it-IT"/>
        </w:rPr>
      </w:pPr>
      <w:r w:rsidRPr="006A7A9B">
        <w:rPr>
          <w:rFonts w:cs="Adobe Arabic"/>
          <w:lang w:val="it-IT"/>
        </w:rPr>
        <w:t>I nuovi modelli incrementali della serie 600 sono intrinsecamente resistenti a umidità, polvere, sporco, condensa, campi magnetici ed elettrici, nonché a forti vibrazioni</w:t>
      </w:r>
      <w:r>
        <w:rPr>
          <w:rFonts w:cs="Adobe Arabic"/>
          <w:lang w:val="it-IT"/>
        </w:rPr>
        <w:t xml:space="preserve">. Garantiscono </w:t>
      </w:r>
      <w:r w:rsidRPr="006A7A9B">
        <w:rPr>
          <w:rFonts w:cs="Adobe Arabic"/>
          <w:lang w:val="it-IT"/>
        </w:rPr>
        <w:t xml:space="preserve">una qualità del segnale stabile nel tempo, anche in ambienti </w:t>
      </w:r>
      <w:r>
        <w:rPr>
          <w:rFonts w:cs="Adobe Arabic"/>
          <w:lang w:val="it-IT"/>
        </w:rPr>
        <w:t xml:space="preserve">dove </w:t>
      </w:r>
      <w:r w:rsidRPr="006A7A9B">
        <w:rPr>
          <w:rFonts w:cs="Adobe Arabic"/>
          <w:lang w:val="it-IT"/>
        </w:rPr>
        <w:t>altre tecnologie possono incontrare difficoltà.</w:t>
      </w:r>
      <w:r>
        <w:rPr>
          <w:rFonts w:cs="Adobe Arabic"/>
          <w:lang w:val="it-IT"/>
        </w:rPr>
        <w:t xml:space="preserve"> </w:t>
      </w:r>
      <w:r w:rsidRPr="006A7A9B">
        <w:rPr>
          <w:rFonts w:cs="Adobe Arabic"/>
          <w:lang w:val="it-IT"/>
        </w:rPr>
        <w:t>L’elevata qualità del segnale della serie 600 è supportata da un design meccanico estremamente robusto. Cuscinetti di dimensioni maggiori rispetto a quelli tipicamente presenti ne</w:t>
      </w:r>
      <w:r>
        <w:rPr>
          <w:rFonts w:cs="Adobe Arabic"/>
          <w:lang w:val="it-IT"/>
        </w:rPr>
        <w:t xml:space="preserve">i comuni </w:t>
      </w:r>
      <w:r w:rsidRPr="006A7A9B">
        <w:rPr>
          <w:rFonts w:cs="Adobe Arabic"/>
          <w:lang w:val="it-IT"/>
        </w:rPr>
        <w:t xml:space="preserve">encoder da 58 mm, </w:t>
      </w:r>
      <w:r>
        <w:rPr>
          <w:rFonts w:cs="Adobe Arabic"/>
          <w:lang w:val="it-IT"/>
        </w:rPr>
        <w:t>insieme a u</w:t>
      </w:r>
      <w:r w:rsidRPr="006A7A9B">
        <w:rPr>
          <w:rFonts w:cs="Adobe Arabic"/>
          <w:lang w:val="it-IT"/>
        </w:rPr>
        <w:t>n</w:t>
      </w:r>
      <w:r>
        <w:rPr>
          <w:rFonts w:cs="Adobe Arabic"/>
          <w:lang w:val="it-IT"/>
        </w:rPr>
        <w:t>a struttura molto resistente</w:t>
      </w:r>
      <w:r w:rsidRPr="006A7A9B">
        <w:rPr>
          <w:rFonts w:cs="Adobe Arabic"/>
          <w:lang w:val="it-IT"/>
        </w:rPr>
        <w:t xml:space="preserve">, rendono la serie 600 una soluzione </w:t>
      </w:r>
      <w:r>
        <w:rPr>
          <w:rFonts w:cs="Adobe Arabic"/>
          <w:lang w:val="it-IT"/>
        </w:rPr>
        <w:t xml:space="preserve">ideale </w:t>
      </w:r>
      <w:r w:rsidRPr="006A7A9B">
        <w:rPr>
          <w:rFonts w:cs="Adobe Arabic"/>
          <w:lang w:val="it-IT"/>
        </w:rPr>
        <w:t xml:space="preserve">per un utilizzo </w:t>
      </w:r>
      <w:r>
        <w:rPr>
          <w:rFonts w:cs="Adobe Arabic"/>
          <w:lang w:val="it-IT"/>
        </w:rPr>
        <w:t xml:space="preserve">in ambiti </w:t>
      </w:r>
      <w:r w:rsidRPr="006A7A9B">
        <w:rPr>
          <w:rFonts w:cs="Adobe Arabic"/>
          <w:lang w:val="it-IT"/>
        </w:rPr>
        <w:t>industrial</w:t>
      </w:r>
      <w:r>
        <w:rPr>
          <w:rFonts w:cs="Adobe Arabic"/>
          <w:lang w:val="it-IT"/>
        </w:rPr>
        <w:t>i</w:t>
      </w:r>
      <w:r w:rsidRPr="006A7A9B">
        <w:rPr>
          <w:rFonts w:cs="Adobe Arabic"/>
          <w:lang w:val="it-IT"/>
        </w:rPr>
        <w:t xml:space="preserve"> </w:t>
      </w:r>
      <w:r>
        <w:rPr>
          <w:rFonts w:cs="Adobe Arabic"/>
          <w:lang w:val="it-IT"/>
        </w:rPr>
        <w:t>complessi</w:t>
      </w:r>
      <w:r w:rsidRPr="006A7A9B">
        <w:rPr>
          <w:rFonts w:cs="Adobe Arabic"/>
          <w:lang w:val="it-IT"/>
        </w:rPr>
        <w:t>.</w:t>
      </w:r>
      <w:r>
        <w:rPr>
          <w:rFonts w:cs="Adobe Arabic"/>
          <w:lang w:val="it-IT"/>
        </w:rPr>
        <w:t xml:space="preserve"> </w:t>
      </w:r>
      <w:r w:rsidRPr="006A7A9B">
        <w:rPr>
          <w:rFonts w:cs="Adobe Arabic"/>
          <w:lang w:val="it-IT"/>
        </w:rPr>
        <w:t xml:space="preserve">Le applicazioni tipiche includono acciaierie, segherie, impianti per la lavorazione di cellulosa e carta, gru, turbine eoliche, installazioni marine e altre attività esposte a umidità, detriti o </w:t>
      </w:r>
      <w:r>
        <w:rPr>
          <w:rFonts w:cs="Adobe Arabic"/>
          <w:lang w:val="it-IT"/>
        </w:rPr>
        <w:t xml:space="preserve">forti </w:t>
      </w:r>
      <w:r w:rsidRPr="006A7A9B">
        <w:rPr>
          <w:rFonts w:cs="Adobe Arabic"/>
          <w:lang w:val="it-IT"/>
        </w:rPr>
        <w:t>vibrazioni. Un’ampia gamma di interfacce supporta l’integrazione nei moderni sistemi di automazione.</w:t>
      </w:r>
    </w:p>
    <w:p w14:paraId="69C09F0A" w14:textId="1A82A5E8" w:rsidR="00085108" w:rsidRPr="008849A8" w:rsidRDefault="007B5A2E" w:rsidP="00085108">
      <w:pPr>
        <w:tabs>
          <w:tab w:val="left" w:pos="3261"/>
        </w:tabs>
        <w:spacing w:line="276" w:lineRule="auto"/>
        <w:ind w:right="-1"/>
        <w:rPr>
          <w:rFonts w:cs="Adobe Arabic"/>
          <w:b/>
          <w:lang w:val="it-IT"/>
        </w:rPr>
      </w:pPr>
      <w:bookmarkStart w:id="2" w:name="_Hlk181694424"/>
      <w:bookmarkEnd w:id="1"/>
      <w:r w:rsidRPr="008849A8">
        <w:rPr>
          <w:rFonts w:cs="Adobe Arabic"/>
          <w:b/>
          <w:lang w:val="it-IT"/>
        </w:rPr>
        <w:lastRenderedPageBreak/>
        <w:t xml:space="preserve">La piattaforma encoder </w:t>
      </w:r>
      <w:r w:rsidR="00085108" w:rsidRPr="008849A8">
        <w:rPr>
          <w:rFonts w:cs="Adobe Arabic"/>
          <w:b/>
          <w:lang w:val="it-IT"/>
        </w:rPr>
        <w:t xml:space="preserve">ECI </w:t>
      </w:r>
      <w:r w:rsidRPr="008849A8">
        <w:rPr>
          <w:rFonts w:cs="Adobe Arabic"/>
          <w:b/>
          <w:lang w:val="it-IT"/>
        </w:rPr>
        <w:t>e</w:t>
      </w:r>
      <w:r w:rsidR="00255D1C" w:rsidRPr="008849A8">
        <w:rPr>
          <w:rFonts w:cs="Adobe Arabic"/>
          <w:b/>
          <w:lang w:val="it-IT"/>
        </w:rPr>
        <w:t>d</w:t>
      </w:r>
      <w:r w:rsidR="00085108" w:rsidRPr="008849A8">
        <w:rPr>
          <w:rFonts w:cs="Adobe Arabic"/>
          <w:b/>
          <w:lang w:val="it-IT"/>
        </w:rPr>
        <w:t xml:space="preserve"> EQI</w:t>
      </w:r>
      <w:r w:rsidR="00C5040F" w:rsidRPr="008849A8">
        <w:rPr>
          <w:rFonts w:cs="Adobe Arabic"/>
          <w:b/>
          <w:lang w:val="it-IT"/>
        </w:rPr>
        <w:t xml:space="preserve">: </w:t>
      </w:r>
      <w:r w:rsidRPr="008849A8">
        <w:rPr>
          <w:rFonts w:cs="Adobe Arabic"/>
          <w:b/>
          <w:lang w:val="it-IT"/>
        </w:rPr>
        <w:t>la soluzione più adatta per ogni motor feedback</w:t>
      </w:r>
    </w:p>
    <w:p w14:paraId="3BFE3488" w14:textId="14ADBEFD" w:rsidR="007B5A2E" w:rsidRPr="008849A8" w:rsidRDefault="007B5A2E" w:rsidP="007B5A2E">
      <w:pPr>
        <w:tabs>
          <w:tab w:val="left" w:pos="3261"/>
        </w:tabs>
        <w:spacing w:line="276" w:lineRule="auto"/>
        <w:ind w:right="-143"/>
        <w:rPr>
          <w:rFonts w:cs="Adobe Arabic"/>
          <w:lang w:val="it-IT"/>
        </w:rPr>
      </w:pPr>
      <w:r w:rsidRPr="008849A8">
        <w:rPr>
          <w:rFonts w:cs="Adobe Arabic"/>
          <w:lang w:val="it-IT"/>
        </w:rPr>
        <w:t>Grazie al loro design modulare, i trasduttori rotativi induttivi ECI ed EQI HEIDENHAIN offrono ai produttori di sistemi di azionamento per macchine e impianti innumerevoli opzioni per adattare il motor feedback alle loro applicazioni specifiche, senza dover cambiare le interfacce elettroniche o meccaniche dei loro sistemi. Le interfacce meccaniche per il montaggio di questi trasduttori rotativi sono tutte compatibili tra loro all'interno della serie 1100 con diametro di 35 mm e della serie 1300 con diametro di 56 mm. Questi trasduttori rotativi sono anche compatibili a livello meccanico con tanti altri trasduttori rotativi della stessa dimensione della gamma HEIDENHAIN, ad esempio i trasduttori rotativi ottici della serie ECN/EQN 1300. Inoltre, l'interfaccia dati digitale EnDat 3 permette di realizzare applicazioni sicure fino al livello SIL 3 senza misure aggiuntive.</w:t>
      </w:r>
    </w:p>
    <w:p w14:paraId="7AFAFCBC" w14:textId="64994D55" w:rsidR="00255D1C" w:rsidRPr="00255D1C" w:rsidRDefault="007B5A2E" w:rsidP="00255D1C">
      <w:pPr>
        <w:tabs>
          <w:tab w:val="left" w:pos="3261"/>
        </w:tabs>
        <w:spacing w:line="276" w:lineRule="auto"/>
        <w:ind w:right="-143"/>
        <w:rPr>
          <w:rFonts w:cs="Adobe Arabic"/>
          <w:lang w:val="it-IT"/>
        </w:rPr>
      </w:pPr>
      <w:r w:rsidRPr="008849A8">
        <w:rPr>
          <w:rFonts w:cs="Adobe Arabic"/>
          <w:lang w:val="it-IT"/>
        </w:rPr>
        <w:t>ECI 1116</w:t>
      </w:r>
      <w:r w:rsidR="00FD4F90" w:rsidRPr="008849A8">
        <w:rPr>
          <w:rFonts w:cs="Adobe Arabic"/>
          <w:lang w:val="it-IT"/>
        </w:rPr>
        <w:t xml:space="preserve"> </w:t>
      </w:r>
      <w:r w:rsidRPr="008849A8">
        <w:rPr>
          <w:rFonts w:cs="Adobe Arabic"/>
          <w:lang w:val="it-IT"/>
        </w:rPr>
        <w:t>completa il portfolio con una versione base. ECI 1116 viene introdotto esclusivamente come encoder singleturn con risoluzione a 16 bit e, nonostante la struttura in kit, offre piena compatibilità con le interfacce meccaniche degli altri encoder della serie 1100. Inoltre, garantisce Functional Safety fino a SIL 2.</w:t>
      </w:r>
      <w:r w:rsidR="00255D1C" w:rsidRPr="008849A8">
        <w:rPr>
          <w:rFonts w:ascii="Segoe UI" w:eastAsia="Times New Roman" w:hAnsi="Segoe UI" w:cs="Segoe UI"/>
          <w:sz w:val="21"/>
          <w:szCs w:val="21"/>
          <w:lang w:val="it-IT" w:eastAsia="it-IT"/>
        </w:rPr>
        <w:t xml:space="preserve"> </w:t>
      </w:r>
      <w:r w:rsidR="00255D1C" w:rsidRPr="008849A8">
        <w:rPr>
          <w:rFonts w:cs="Adobe Arabic"/>
          <w:lang w:val="it-IT"/>
        </w:rPr>
        <w:t>Come per tutti gli encoder della piattaforma ECI ed EQI, anche per ECI 1116 il collegamento avviene in modo semplice e con un cablaggio ridotto tramite la soluzione a cavo singolo HMC2.</w:t>
      </w:r>
    </w:p>
    <w:p w14:paraId="711F4920" w14:textId="09BEAE63" w:rsidR="00085108" w:rsidRPr="007B5A2E" w:rsidRDefault="00085108" w:rsidP="005121E1">
      <w:pPr>
        <w:tabs>
          <w:tab w:val="left" w:pos="3261"/>
        </w:tabs>
        <w:spacing w:line="276" w:lineRule="auto"/>
        <w:ind w:right="-143"/>
        <w:rPr>
          <w:rFonts w:cs="Adobe Arabic"/>
        </w:rPr>
      </w:pPr>
    </w:p>
    <w:p w14:paraId="1C9ECFB2" w14:textId="77777777" w:rsidR="002B1591" w:rsidRPr="001611FD" w:rsidRDefault="002B1591" w:rsidP="002B1591">
      <w:pPr>
        <w:tabs>
          <w:tab w:val="left" w:pos="3261"/>
        </w:tabs>
        <w:spacing w:line="276" w:lineRule="auto"/>
        <w:ind w:right="-143"/>
        <w:rPr>
          <w:rFonts w:cs="Adobe Arabic"/>
          <w:b/>
          <w:bCs/>
          <w:lang w:val="it-IT"/>
        </w:rPr>
      </w:pPr>
      <w:r w:rsidRPr="001611FD">
        <w:rPr>
          <w:b/>
          <w:bCs/>
          <w:lang w:val="it-IT"/>
        </w:rPr>
        <w:t>FSI (Functional Safety Integrated) per la protezione di persone e macchinari</w:t>
      </w:r>
    </w:p>
    <w:p w14:paraId="13929038" w14:textId="52E947BD" w:rsidR="002B1591" w:rsidRPr="00A3771F" w:rsidRDefault="002B1591" w:rsidP="002B1591">
      <w:pPr>
        <w:spacing w:line="276" w:lineRule="auto"/>
        <w:ind w:right="140"/>
        <w:rPr>
          <w:lang w:val="it-IT"/>
        </w:rPr>
      </w:pPr>
      <w:r w:rsidRPr="00A3771F">
        <w:rPr>
          <w:lang w:val="it-IT"/>
        </w:rPr>
        <w:t>La gamma di prodotti FSI (Functional Safety Integrated) di L</w:t>
      </w:r>
      <w:r w:rsidR="0059382F">
        <w:rPr>
          <w:lang w:val="it-IT"/>
        </w:rPr>
        <w:t>EINE LINDE</w:t>
      </w:r>
      <w:r w:rsidRPr="00A3771F">
        <w:rPr>
          <w:lang w:val="it-IT"/>
        </w:rPr>
        <w:t xml:space="preserve"> è progettata per soddisfare i più elevati standard di sicurezza nell'automazione industriale. Questi encoder e sistemi di sicurezza sono costruiti per ambienti in cui affidabilità e precisione sono fondamentali</w:t>
      </w:r>
      <w:r>
        <w:rPr>
          <w:lang w:val="it-IT"/>
        </w:rPr>
        <w:t xml:space="preserve"> </w:t>
      </w:r>
      <w:r w:rsidRPr="00A3771F">
        <w:rPr>
          <w:lang w:val="it-IT"/>
        </w:rPr>
        <w:t xml:space="preserve">non solo per le prestazioni, ma anche per </w:t>
      </w:r>
      <w:r>
        <w:rPr>
          <w:lang w:val="it-IT"/>
        </w:rPr>
        <w:t xml:space="preserve">garantire </w:t>
      </w:r>
      <w:r w:rsidRPr="00A3771F">
        <w:rPr>
          <w:lang w:val="it-IT"/>
        </w:rPr>
        <w:t xml:space="preserve">la protezione di persone e macchinari. Con </w:t>
      </w:r>
      <w:r w:rsidRPr="00BF4343">
        <w:rPr>
          <w:rFonts w:cs="Adobe Arabic"/>
          <w:lang w:val="it-IT"/>
        </w:rPr>
        <w:t>certificazioni</w:t>
      </w:r>
      <w:r w:rsidRPr="00A3771F">
        <w:rPr>
          <w:lang w:val="it-IT"/>
        </w:rPr>
        <w:t xml:space="preserve"> fino a SIL3 e PLe, la gamma FSI garantisce un monitoraggio sicuro del movimento in una vasta gamma di applicazioni </w:t>
      </w:r>
      <w:r>
        <w:rPr>
          <w:lang w:val="it-IT"/>
        </w:rPr>
        <w:t xml:space="preserve">decisamente </w:t>
      </w:r>
      <w:r w:rsidRPr="00A3771F">
        <w:rPr>
          <w:lang w:val="it-IT"/>
        </w:rPr>
        <w:t>impegnative.</w:t>
      </w:r>
      <w:r>
        <w:rPr>
          <w:lang w:val="it-IT"/>
        </w:rPr>
        <w:t xml:space="preserve"> </w:t>
      </w:r>
    </w:p>
    <w:p w14:paraId="78B382CA" w14:textId="592B7B86" w:rsidR="002B1591" w:rsidRPr="006A7A9B" w:rsidRDefault="002B1591" w:rsidP="002B1591">
      <w:pPr>
        <w:spacing w:line="276" w:lineRule="auto"/>
        <w:ind w:right="140"/>
        <w:rPr>
          <w:lang w:val="it-IT"/>
        </w:rPr>
      </w:pPr>
      <w:r w:rsidRPr="006A7A9B">
        <w:rPr>
          <w:lang w:val="it-IT"/>
        </w:rPr>
        <w:t xml:space="preserve">FSI 608 è un encoder assoluto induttivo certificato per la sicurezza funzionale, progettato per soddisfare i più elevati standard di sicurezza. Certificato fino a SIL3 e PLe, Cat. 4, fornisce feedback sicuro su velocità, posizione e accelerazione grazie a </w:t>
      </w:r>
      <w:r w:rsidRPr="00BC557D">
        <w:rPr>
          <w:lang w:val="it-IT"/>
        </w:rPr>
        <w:t>percorsi di segnale ridondanti e diagnostica integrata. È dotato di comunicazione PROFIsafe e di un’uscita ad alta risoluzione fino a 31 bit per diverse attività di posizionamento. Con un robusto corpo in alluminio anodizzato e un albero in acciaio inox, FSI 608 è costruito per operare in modo affidabile in ambienti difficili. È quindi ideale per applicazioni come gru, ascensori e macchinari automatizzati, dove la sicurezza operativa è essenziale.</w:t>
      </w:r>
    </w:p>
    <w:p w14:paraId="19AD8668" w14:textId="75FEF146" w:rsidR="002B1591" w:rsidRPr="006A7A9B" w:rsidRDefault="002B1591" w:rsidP="002B1591">
      <w:pPr>
        <w:tabs>
          <w:tab w:val="left" w:pos="3261"/>
        </w:tabs>
        <w:spacing w:line="276" w:lineRule="auto"/>
        <w:ind w:right="-143"/>
        <w:rPr>
          <w:rFonts w:cs="Adobe Arabic"/>
          <w:lang w:val="it-IT"/>
        </w:rPr>
      </w:pPr>
      <w:r w:rsidRPr="006A7A9B">
        <w:rPr>
          <w:rFonts w:cs="Adobe Arabic"/>
          <w:lang w:val="it-IT"/>
        </w:rPr>
        <w:t>La gamma FSI di Leine Linde comprende le serie FSI 600, 800 e 900 con soluzioni di sicurezza scalabili per l’automazione industriale. La serie FSI 600 fornisce encoder assoluti certificati SIL3/PLe con comunicazione fieldbus sicura; la serie FSI 800 propone encoder incrementali heavy duty per il feedback di velocità di sicurezza in sistemi di azionamento particolarmente esigenti mentre la serie FSI 900 combina il feedback di movimento con un sistema di sicurezza integrato e indipendente.</w:t>
      </w:r>
      <w:r w:rsidR="00FD4F90">
        <w:rPr>
          <w:rFonts w:cs="Adobe Arabic"/>
          <w:lang w:val="it-IT"/>
        </w:rPr>
        <w:t xml:space="preserve"> </w:t>
      </w:r>
      <w:r w:rsidRPr="006A7A9B">
        <w:rPr>
          <w:rFonts w:cs="Adobe Arabic"/>
          <w:lang w:val="it-IT"/>
        </w:rPr>
        <w:t xml:space="preserve">Nel loro insieme, le serie FSI consentono un controllo del movimento </w:t>
      </w:r>
      <w:r w:rsidR="00FD4F90">
        <w:rPr>
          <w:rFonts w:cs="Adobe Arabic"/>
          <w:lang w:val="it-IT"/>
        </w:rPr>
        <w:t>a</w:t>
      </w:r>
      <w:r w:rsidRPr="006A7A9B">
        <w:rPr>
          <w:rFonts w:cs="Adobe Arabic"/>
          <w:lang w:val="it-IT"/>
        </w:rPr>
        <w:t>ffidabile e certificato per un’ampia gamma di applicazioni industriali.</w:t>
      </w:r>
    </w:p>
    <w:p w14:paraId="5A8CE44A" w14:textId="77777777" w:rsidR="00565967" w:rsidRDefault="00565967" w:rsidP="005121E1">
      <w:pPr>
        <w:tabs>
          <w:tab w:val="left" w:pos="3261"/>
        </w:tabs>
        <w:spacing w:line="276" w:lineRule="auto"/>
        <w:ind w:right="-143"/>
        <w:rPr>
          <w:rFonts w:cs="Adobe Arabic"/>
          <w:lang w:val="it-IT"/>
        </w:rPr>
      </w:pPr>
    </w:p>
    <w:p w14:paraId="7CE2EEE0" w14:textId="210EE9FF" w:rsidR="00083796" w:rsidRPr="008849A8" w:rsidRDefault="00FD4F90" w:rsidP="00631CE9">
      <w:pPr>
        <w:spacing w:line="276" w:lineRule="auto"/>
        <w:ind w:right="140"/>
        <w:rPr>
          <w:rFonts w:cs="Adobe Arabic"/>
          <w:b/>
          <w:szCs w:val="20"/>
          <w:lang w:val="it-IT"/>
        </w:rPr>
      </w:pPr>
      <w:r w:rsidRPr="008849A8">
        <w:rPr>
          <w:rFonts w:cs="Adobe Arabic"/>
          <w:b/>
          <w:szCs w:val="20"/>
          <w:lang w:val="it-IT"/>
        </w:rPr>
        <w:t>L</w:t>
      </w:r>
      <w:r w:rsidR="00631CE9" w:rsidRPr="008849A8">
        <w:rPr>
          <w:rFonts w:cs="Adobe Arabic"/>
          <w:b/>
          <w:szCs w:val="20"/>
          <w:lang w:val="it-IT"/>
        </w:rPr>
        <w:t>‘</w:t>
      </w:r>
      <w:r w:rsidRPr="008849A8">
        <w:rPr>
          <w:rFonts w:cs="Adobe Arabic"/>
          <w:b/>
          <w:bCs/>
          <w:lang w:val="it-IT"/>
        </w:rPr>
        <w:t>analisi</w:t>
      </w:r>
      <w:r w:rsidRPr="008849A8">
        <w:rPr>
          <w:rFonts w:cs="Adobe Arabic"/>
          <w:b/>
          <w:szCs w:val="20"/>
          <w:lang w:val="it-IT"/>
        </w:rPr>
        <w:t xml:space="preserve"> integrata delle vibrazioni evita sensorista aggiuntiva e agevola le attività di montaggio: gli encoder induttivi </w:t>
      </w:r>
      <w:bookmarkStart w:id="3" w:name="_Hlk181691204"/>
      <w:r w:rsidR="00083796" w:rsidRPr="008849A8">
        <w:rPr>
          <w:rFonts w:cs="Adobe Arabic"/>
          <w:b/>
          <w:szCs w:val="20"/>
          <w:lang w:val="it-IT"/>
        </w:rPr>
        <w:t>ECI</w:t>
      </w:r>
      <w:r w:rsidR="00377030" w:rsidRPr="008849A8">
        <w:rPr>
          <w:rFonts w:cs="Adobe Arabic"/>
          <w:b/>
          <w:szCs w:val="20"/>
          <w:lang w:val="it-IT"/>
        </w:rPr>
        <w:t> </w:t>
      </w:r>
      <w:r w:rsidR="00083796" w:rsidRPr="008849A8">
        <w:rPr>
          <w:rFonts w:cs="Adobe Arabic"/>
          <w:b/>
          <w:szCs w:val="20"/>
          <w:lang w:val="it-IT"/>
        </w:rPr>
        <w:t>1323</w:t>
      </w:r>
      <w:r w:rsidR="00377030" w:rsidRPr="008849A8">
        <w:rPr>
          <w:rFonts w:cs="Adobe Arabic"/>
          <w:b/>
          <w:szCs w:val="20"/>
          <w:lang w:val="it-IT"/>
        </w:rPr>
        <w:t> </w:t>
      </w:r>
      <w:r w:rsidR="00083796" w:rsidRPr="008849A8">
        <w:rPr>
          <w:rFonts w:cs="Adobe Arabic"/>
          <w:b/>
          <w:szCs w:val="20"/>
          <w:lang w:val="it-IT"/>
        </w:rPr>
        <w:t>S</w:t>
      </w:r>
      <w:r w:rsidR="00083796" w:rsidRPr="008849A8">
        <w:rPr>
          <w:rFonts w:cs="Adobe Arabic"/>
          <w:b/>
          <w:i/>
          <w:szCs w:val="20"/>
          <w:lang w:val="it-IT"/>
        </w:rPr>
        <w:t>plus</w:t>
      </w:r>
      <w:r w:rsidR="00083796" w:rsidRPr="008849A8">
        <w:rPr>
          <w:rFonts w:cs="Adobe Arabic"/>
          <w:b/>
          <w:szCs w:val="20"/>
          <w:lang w:val="it-IT"/>
        </w:rPr>
        <w:t xml:space="preserve"> </w:t>
      </w:r>
      <w:r w:rsidRPr="008849A8">
        <w:rPr>
          <w:rFonts w:cs="Adobe Arabic"/>
          <w:b/>
          <w:szCs w:val="20"/>
          <w:lang w:val="it-IT"/>
        </w:rPr>
        <w:t>ed</w:t>
      </w:r>
      <w:r w:rsidR="00083796" w:rsidRPr="008849A8">
        <w:rPr>
          <w:rFonts w:cs="Adobe Arabic"/>
          <w:b/>
          <w:szCs w:val="20"/>
          <w:lang w:val="it-IT"/>
        </w:rPr>
        <w:t xml:space="preserve"> EQI</w:t>
      </w:r>
      <w:r w:rsidR="00377030" w:rsidRPr="008849A8">
        <w:rPr>
          <w:rFonts w:cs="Adobe Arabic"/>
          <w:b/>
          <w:szCs w:val="20"/>
          <w:lang w:val="it-IT"/>
        </w:rPr>
        <w:t> </w:t>
      </w:r>
      <w:r w:rsidR="00083796" w:rsidRPr="008849A8">
        <w:rPr>
          <w:rFonts w:cs="Adobe Arabic"/>
          <w:b/>
          <w:szCs w:val="20"/>
          <w:lang w:val="it-IT"/>
        </w:rPr>
        <w:t>1335</w:t>
      </w:r>
      <w:r w:rsidR="00377030" w:rsidRPr="008849A8">
        <w:rPr>
          <w:rFonts w:cs="Adobe Arabic"/>
          <w:b/>
          <w:szCs w:val="20"/>
          <w:lang w:val="it-IT"/>
        </w:rPr>
        <w:t> </w:t>
      </w:r>
      <w:r w:rsidR="00083796" w:rsidRPr="008849A8">
        <w:rPr>
          <w:rFonts w:cs="Adobe Arabic"/>
          <w:b/>
          <w:szCs w:val="20"/>
          <w:lang w:val="it-IT"/>
        </w:rPr>
        <w:t>S</w:t>
      </w:r>
      <w:r w:rsidR="00083796" w:rsidRPr="008849A8">
        <w:rPr>
          <w:rFonts w:cs="Adobe Arabic"/>
          <w:b/>
          <w:i/>
          <w:szCs w:val="20"/>
          <w:lang w:val="it-IT"/>
        </w:rPr>
        <w:t>plus</w:t>
      </w:r>
      <w:r w:rsidR="00083796" w:rsidRPr="008849A8">
        <w:rPr>
          <w:rFonts w:cs="Adobe Arabic"/>
          <w:b/>
          <w:szCs w:val="20"/>
          <w:lang w:val="it-IT"/>
        </w:rPr>
        <w:t xml:space="preserve"> </w:t>
      </w:r>
      <w:bookmarkEnd w:id="3"/>
      <w:r w:rsidR="00083796" w:rsidRPr="008849A8">
        <w:rPr>
          <w:rFonts w:cs="Adobe Arabic"/>
          <w:b/>
          <w:szCs w:val="20"/>
          <w:lang w:val="it-IT"/>
        </w:rPr>
        <w:t>HEIDENHAIN</w:t>
      </w:r>
    </w:p>
    <w:p w14:paraId="501093EC" w14:textId="77777777" w:rsidR="007B5A2E" w:rsidRPr="008849A8" w:rsidRDefault="007B5A2E" w:rsidP="007B5A2E">
      <w:pPr>
        <w:spacing w:line="276" w:lineRule="auto"/>
        <w:ind w:right="140"/>
        <w:rPr>
          <w:rFonts w:cs="Adobe Arabic"/>
          <w:szCs w:val="20"/>
          <w:lang w:val="it-IT"/>
        </w:rPr>
      </w:pPr>
      <w:r w:rsidRPr="008849A8">
        <w:rPr>
          <w:rFonts w:cs="Adobe Arabic"/>
          <w:szCs w:val="20"/>
          <w:lang w:val="it-IT"/>
        </w:rPr>
        <w:t>Rilevare precocemente le vibrazioni è fondamentale per evitare danni e ottenere processi fluidi, risultati perfetti e un utilizzo duraturo delle macchine, soprattutto in impianti di produzione automatizzata ad alte prestazioni e ad alto costo. Quanto più</w:t>
      </w:r>
      <w:r w:rsidRPr="008849A8">
        <w:rPr>
          <w:rFonts w:cs="Adobe Arabic"/>
          <w:b/>
          <w:bCs/>
          <w:szCs w:val="20"/>
          <w:lang w:val="it-IT"/>
        </w:rPr>
        <w:t xml:space="preserve"> </w:t>
      </w:r>
      <w:r w:rsidRPr="008849A8">
        <w:rPr>
          <w:rFonts w:cs="Adobe Arabic"/>
          <w:szCs w:val="20"/>
          <w:lang w:val="it-IT"/>
        </w:rPr>
        <w:t>precoce e rapido</w:t>
      </w:r>
      <w:r w:rsidRPr="008849A8">
        <w:rPr>
          <w:rFonts w:cs="Adobe Arabic"/>
          <w:b/>
          <w:bCs/>
          <w:szCs w:val="20"/>
          <w:lang w:val="it-IT"/>
        </w:rPr>
        <w:t xml:space="preserve"> </w:t>
      </w:r>
      <w:r w:rsidRPr="008849A8">
        <w:rPr>
          <w:rFonts w:cs="Adobe Arabic"/>
          <w:szCs w:val="20"/>
          <w:lang w:val="it-IT"/>
        </w:rPr>
        <w:lastRenderedPageBreak/>
        <w:t>è il rilevamento, tanto più facile è evitare scarti, danni alle macchine e tempi di fermo degli impianti.</w:t>
      </w:r>
    </w:p>
    <w:p w14:paraId="2707ADC9" w14:textId="77777777" w:rsidR="007B5A2E" w:rsidRPr="008849A8" w:rsidRDefault="007B5A2E" w:rsidP="007B5A2E">
      <w:pPr>
        <w:spacing w:line="276" w:lineRule="auto"/>
        <w:ind w:right="140"/>
        <w:rPr>
          <w:rFonts w:cs="Adobe Arabic"/>
          <w:szCs w:val="20"/>
          <w:lang w:val="it-IT"/>
        </w:rPr>
      </w:pPr>
      <w:r w:rsidRPr="008849A8">
        <w:rPr>
          <w:rFonts w:cs="Adobe Arabic"/>
          <w:szCs w:val="20"/>
          <w:lang w:val="it-IT"/>
        </w:rPr>
        <w:t>I trasduttori rotativi induttivi ECI 1323 S</w:t>
      </w:r>
      <w:r w:rsidRPr="008849A8">
        <w:rPr>
          <w:rFonts w:cs="Adobe Arabic"/>
          <w:i/>
          <w:iCs/>
          <w:szCs w:val="20"/>
          <w:lang w:val="it-IT"/>
        </w:rPr>
        <w:t>plus</w:t>
      </w:r>
      <w:r w:rsidRPr="008849A8">
        <w:rPr>
          <w:rFonts w:cs="Adobe Arabic"/>
          <w:szCs w:val="20"/>
          <w:lang w:val="it-IT"/>
        </w:rPr>
        <w:t xml:space="preserve"> ed EQI 1335 S</w:t>
      </w:r>
      <w:r w:rsidRPr="008849A8">
        <w:rPr>
          <w:rFonts w:cs="Adobe Arabic"/>
          <w:i/>
          <w:iCs/>
          <w:szCs w:val="20"/>
          <w:lang w:val="it-IT"/>
        </w:rPr>
        <w:t>plus</w:t>
      </w:r>
      <w:r w:rsidRPr="008849A8">
        <w:rPr>
          <w:rFonts w:cs="Adobe Arabic"/>
          <w:szCs w:val="20"/>
          <w:lang w:val="it-IT"/>
        </w:rPr>
        <w:t xml:space="preserve"> HEIDENHAIN con sensore di accelerazione integrato, e relative valutazioni, sono una soluzione particolarmente pratica per rilevare e analizzare le vibrazioni sugli elementi delle macchine. Eseguono la misurazione di posizione e l'analisi delle vibrazioni in un unico encoder per il controllo del movimento e il monitoraggio delle condizioni. Collegando i segnali rilevati delle vibrazioni con i valori di posizione, forniscono informazioni che consentono di determinare rapidamente il tipo e l'ubicazione della fonte di vibrazioni. Agli encoder rotativi può essere collegato anche un sensore di temperatura esterno.</w:t>
      </w:r>
    </w:p>
    <w:p w14:paraId="3B658D19" w14:textId="7D0DE5D6" w:rsidR="007B5A2E" w:rsidRPr="008849A8" w:rsidRDefault="007B5A2E" w:rsidP="007B5A2E">
      <w:pPr>
        <w:spacing w:line="276" w:lineRule="auto"/>
        <w:ind w:right="140"/>
        <w:rPr>
          <w:rFonts w:cs="Adobe Arabic"/>
          <w:szCs w:val="20"/>
          <w:lang w:val="it-IT"/>
        </w:rPr>
      </w:pPr>
      <w:r w:rsidRPr="008849A8">
        <w:rPr>
          <w:rFonts w:cs="Adobe Arabic"/>
          <w:szCs w:val="20"/>
          <w:lang w:val="it-IT"/>
        </w:rPr>
        <w:t>ECI 1323 S</w:t>
      </w:r>
      <w:r w:rsidRPr="008849A8">
        <w:rPr>
          <w:rFonts w:cs="Adobe Arabic"/>
          <w:i/>
          <w:iCs/>
          <w:szCs w:val="20"/>
          <w:lang w:val="it-IT"/>
        </w:rPr>
        <w:t>plus</w:t>
      </w:r>
      <w:r w:rsidRPr="008849A8">
        <w:rPr>
          <w:rFonts w:cs="Adobe Arabic"/>
          <w:szCs w:val="20"/>
          <w:lang w:val="it-IT"/>
        </w:rPr>
        <w:t xml:space="preserve"> ed EQI 1335 S</w:t>
      </w:r>
      <w:r w:rsidRPr="008849A8">
        <w:rPr>
          <w:rFonts w:cs="Adobe Arabic"/>
          <w:i/>
          <w:iCs/>
          <w:szCs w:val="20"/>
          <w:lang w:val="it-IT"/>
        </w:rPr>
        <w:t>plus</w:t>
      </w:r>
      <w:r w:rsidRPr="008849A8">
        <w:rPr>
          <w:rFonts w:cs="Adobe Arabic"/>
          <w:szCs w:val="20"/>
          <w:lang w:val="it-IT"/>
        </w:rPr>
        <w:t xml:space="preserve"> supportano il processo online di Condition Monitoring su misura di una macchina al fine di rilevare precocemente i guasti ed eseguire una analisi dettagliata. Gli operatori possono impiegare la Predictive Maintenance per ottimizzare gli intervalli di assistenza in base al carico effettivo della macchina, o integrare interventi di manutenzione straordinaria nei processi operativi.</w:t>
      </w:r>
      <w:r w:rsidR="00364185">
        <w:rPr>
          <w:rFonts w:cs="Adobe Arabic"/>
          <w:szCs w:val="20"/>
          <w:lang w:val="it-IT"/>
        </w:rPr>
        <w:t xml:space="preserve"> </w:t>
      </w:r>
      <w:r w:rsidRPr="008849A8">
        <w:rPr>
          <w:rFonts w:cs="Adobe Arabic"/>
          <w:szCs w:val="20"/>
          <w:lang w:val="it-IT"/>
        </w:rPr>
        <w:t>ECI 1323 S</w:t>
      </w:r>
      <w:r w:rsidRPr="008849A8">
        <w:rPr>
          <w:rFonts w:cs="Adobe Arabic"/>
          <w:i/>
          <w:iCs/>
          <w:szCs w:val="20"/>
          <w:lang w:val="it-IT"/>
        </w:rPr>
        <w:t>plus</w:t>
      </w:r>
      <w:r w:rsidRPr="008849A8">
        <w:rPr>
          <w:rFonts w:cs="Adobe Arabic"/>
          <w:szCs w:val="20"/>
          <w:lang w:val="it-IT"/>
        </w:rPr>
        <w:t xml:space="preserve"> ed EQI 1335 S</w:t>
      </w:r>
      <w:r w:rsidRPr="008849A8">
        <w:rPr>
          <w:rFonts w:cs="Adobe Arabic"/>
          <w:i/>
          <w:iCs/>
          <w:szCs w:val="20"/>
          <w:lang w:val="it-IT"/>
        </w:rPr>
        <w:t>plus</w:t>
      </w:r>
      <w:r w:rsidRPr="008849A8">
        <w:rPr>
          <w:rFonts w:cs="Adobe Arabic"/>
          <w:szCs w:val="20"/>
          <w:lang w:val="it-IT"/>
        </w:rPr>
        <w:t xml:space="preserve"> utilizzano l'interfaccia EnDat 3 per trasmettere tutte queste informazioni all'elettronica successiva del controllo numerico. Questo non solo limita la sensoristica per la misurazione delle vibrazioni, ma riduce anche il cablaggio e agevola le operazioni di montaggio.</w:t>
      </w:r>
    </w:p>
    <w:p w14:paraId="252F83EF" w14:textId="77777777" w:rsidR="00357A90" w:rsidRPr="008849A8" w:rsidRDefault="00357A90" w:rsidP="00357A90">
      <w:pPr>
        <w:spacing w:line="276" w:lineRule="auto"/>
        <w:ind w:right="140"/>
        <w:rPr>
          <w:rFonts w:cs="Adobe Arabic"/>
          <w:lang w:val="it-IT"/>
        </w:rPr>
      </w:pPr>
    </w:p>
    <w:bookmarkEnd w:id="2"/>
    <w:p w14:paraId="782C8026" w14:textId="77777777" w:rsidR="007C6A68" w:rsidRPr="008849A8" w:rsidRDefault="007C6A68" w:rsidP="005D2C7B">
      <w:pPr>
        <w:spacing w:line="276" w:lineRule="auto"/>
        <w:ind w:right="140"/>
        <w:rPr>
          <w:rFonts w:cs="Adobe Arabic"/>
          <w:b/>
          <w:bCs/>
          <w:lang w:val="it-IT"/>
        </w:rPr>
      </w:pPr>
      <w:r w:rsidRPr="008849A8">
        <w:rPr>
          <w:rFonts w:cs="Adobe Arabic"/>
          <w:b/>
          <w:bCs/>
          <w:lang w:val="it-IT"/>
        </w:rPr>
        <w:t>Maggiore accuratezza e sicurezza per cobot: dual encoder e secondary encoder per il controllo anticollisione</w:t>
      </w:r>
    </w:p>
    <w:p w14:paraId="0B14BBDB" w14:textId="3B48F003" w:rsidR="005D2C7B" w:rsidRPr="008849A8" w:rsidRDefault="007C6A68" w:rsidP="005D2C7B">
      <w:pPr>
        <w:spacing w:line="276" w:lineRule="auto"/>
        <w:ind w:right="140"/>
        <w:rPr>
          <w:rFonts w:cs="Adobe Arabic"/>
          <w:lang w:val="it-IT"/>
        </w:rPr>
      </w:pPr>
      <w:r w:rsidRPr="008849A8">
        <w:rPr>
          <w:rFonts w:cs="Adobe Arabic"/>
          <w:lang w:val="it-IT"/>
        </w:rPr>
        <w:t>Il rilevamento del motor feedback e la misurazione ultraprecisa della posizione a valle del riduttore di velocità con un dual encoder HEIDENHAIN ovvero tramite un encoder motore più secondary encoder di AMO o RSF incrementano non solo l'accuratezza dei robot. Possono rilevare anche gli effetti delle forze che agiscono sui singoli sistemi di ingranaggio dei giunti dei robot, ad esempio in caso di una collisione. I produttori di cobot possono sfruttare questo valore aggiunto per il controllo anticollisione mirato senza sensori di coppia aggiuntivi.</w:t>
      </w:r>
    </w:p>
    <w:p w14:paraId="4F078634" w14:textId="77777777" w:rsidR="007C6A68" w:rsidRPr="008849A8" w:rsidRDefault="007C6A68" w:rsidP="005D2C7B">
      <w:pPr>
        <w:spacing w:line="276" w:lineRule="auto"/>
        <w:ind w:right="140"/>
        <w:rPr>
          <w:rFonts w:cs="Adobe Arabic"/>
          <w:lang w:val="it-IT"/>
        </w:rPr>
      </w:pPr>
    </w:p>
    <w:p w14:paraId="1F82EC29" w14:textId="77777777" w:rsidR="00AC5ECF" w:rsidRPr="008849A8" w:rsidRDefault="00AC5ECF" w:rsidP="00AC5ECF">
      <w:pPr>
        <w:tabs>
          <w:tab w:val="left" w:pos="3261"/>
        </w:tabs>
        <w:spacing w:line="276" w:lineRule="auto"/>
        <w:ind w:right="-1"/>
        <w:rPr>
          <w:rFonts w:cs="Adobe Arabic"/>
          <w:b/>
          <w:lang w:val="it-IT"/>
        </w:rPr>
      </w:pPr>
      <w:r w:rsidRPr="008849A8">
        <w:rPr>
          <w:rFonts w:cs="Adobe Arabic"/>
          <w:b/>
          <w:lang w:val="it-IT"/>
        </w:rPr>
        <w:t>Sistemi di misura angolari modulari di AMO e RSF: secondary encoder per azionamenti di robot con alberi di grande diametro</w:t>
      </w:r>
    </w:p>
    <w:p w14:paraId="7CAA9BC9" w14:textId="77777777" w:rsidR="00AC5ECF" w:rsidRPr="008849A8" w:rsidRDefault="00AC5ECF" w:rsidP="00AC5ECF">
      <w:pPr>
        <w:tabs>
          <w:tab w:val="left" w:pos="3261"/>
        </w:tabs>
        <w:spacing w:line="276" w:lineRule="auto"/>
        <w:ind w:right="-1"/>
        <w:rPr>
          <w:rFonts w:cs="Adobe Arabic"/>
          <w:sz w:val="20"/>
          <w:szCs w:val="20"/>
          <w:lang w:val="it-IT"/>
        </w:rPr>
      </w:pPr>
      <w:r w:rsidRPr="008849A8">
        <w:rPr>
          <w:rFonts w:cs="Adobe Arabic"/>
          <w:lang w:val="it-IT"/>
        </w:rPr>
        <w:t>I costruttori di robot possono ottenere un miglioramento significativo dell'accuratezza di posizione assoluta aggiungendo sistemi di misura angolari altamente precisi. Questi secondary encoder, posizionati a valle del riduttore di velocità, determinano la posizione effettiva di ogni giunto del robot e consentono una vasta gamma di nuove applicazioni: sono disponibili soluzioni modulari come il sistema di misura angolare WMRA di AMO o il nuovo sistema di misura angolare MCR 16 di RSF. Grazie alla struttura modulare con tamburo graduato o anello di misura e unità di scansione separata, sono idonei per alberi di grande diametro e per condizioni di montaggio difficoltose. Le soluzioni secondary encoder di AMO con scansione induttiva sono caratterizzate da una grande robustezza e presentano particolare flessibilità in termini di design meccanico. Il sistema di misura angolare MCR 16 di RSF offre una scansione ottica con migliore qualità del segnale per la misurazione assoluta di posizione su assi di grandi dimensioni.</w:t>
      </w:r>
    </w:p>
    <w:p w14:paraId="4E41C54B" w14:textId="77777777" w:rsidR="00D73C9D" w:rsidRPr="008849A8" w:rsidRDefault="00D73C9D" w:rsidP="00770091">
      <w:pPr>
        <w:tabs>
          <w:tab w:val="left" w:pos="3261"/>
        </w:tabs>
        <w:spacing w:line="276" w:lineRule="auto"/>
        <w:ind w:right="-1"/>
        <w:rPr>
          <w:rFonts w:cs="Adobe Arabic"/>
          <w:sz w:val="20"/>
          <w:szCs w:val="20"/>
          <w:lang w:val="it-IT"/>
        </w:rPr>
      </w:pPr>
    </w:p>
    <w:p w14:paraId="50F11C9A" w14:textId="7894F302" w:rsidR="00D73C9D" w:rsidRPr="008849A8" w:rsidRDefault="00D73C9D" w:rsidP="00797A9C">
      <w:pPr>
        <w:spacing w:line="276" w:lineRule="auto"/>
        <w:rPr>
          <w:rFonts w:cs="Arial"/>
          <w:b/>
          <w:color w:val="333333"/>
          <w:szCs w:val="18"/>
          <w:shd w:val="clear" w:color="auto" w:fill="FFFFFF"/>
          <w:lang w:val="it-IT"/>
        </w:rPr>
      </w:pPr>
      <w:r w:rsidRPr="008849A8">
        <w:rPr>
          <w:rFonts w:cs="Arial"/>
          <w:b/>
          <w:color w:val="333333"/>
          <w:szCs w:val="18"/>
          <w:shd w:val="clear" w:color="auto" w:fill="FFFFFF"/>
          <w:lang w:val="it-IT"/>
        </w:rPr>
        <w:t xml:space="preserve">HEIDENHAIN a </w:t>
      </w:r>
      <w:r w:rsidR="00797A9C" w:rsidRPr="008849A8">
        <w:rPr>
          <w:rFonts w:cs="Arial"/>
          <w:b/>
          <w:color w:val="333333"/>
          <w:szCs w:val="18"/>
          <w:shd w:val="clear" w:color="auto" w:fill="FFFFFF"/>
          <w:lang w:val="it-IT"/>
        </w:rPr>
        <w:t>SPS</w:t>
      </w:r>
      <w:r w:rsidR="00F428C6" w:rsidRPr="008849A8">
        <w:rPr>
          <w:rFonts w:cs="Arial"/>
          <w:b/>
          <w:color w:val="333333"/>
          <w:szCs w:val="18"/>
          <w:shd w:val="clear" w:color="auto" w:fill="FFFFFF"/>
          <w:lang w:val="it-IT"/>
        </w:rPr>
        <w:t xml:space="preserve"> Italia</w:t>
      </w:r>
      <w:r w:rsidR="0059382F" w:rsidRPr="008849A8">
        <w:rPr>
          <w:rFonts w:cs="Arial"/>
          <w:b/>
          <w:color w:val="333333"/>
          <w:szCs w:val="18"/>
          <w:shd w:val="clear" w:color="auto" w:fill="FFFFFF"/>
          <w:lang w:val="it-IT"/>
        </w:rPr>
        <w:t>:</w:t>
      </w:r>
      <w:r w:rsidR="007C6A68" w:rsidRPr="008849A8">
        <w:rPr>
          <w:rFonts w:cs="Arial"/>
          <w:b/>
          <w:color w:val="333333"/>
          <w:szCs w:val="18"/>
          <w:shd w:val="clear" w:color="auto" w:fill="FFFFFF"/>
          <w:lang w:val="it-IT"/>
        </w:rPr>
        <w:t xml:space="preserve"> Fiere di Parma</w:t>
      </w:r>
      <w:r w:rsidR="00B97DDC" w:rsidRPr="008849A8">
        <w:rPr>
          <w:rFonts w:cs="Arial"/>
          <w:b/>
          <w:color w:val="333333"/>
          <w:szCs w:val="18"/>
          <w:shd w:val="clear" w:color="auto" w:fill="FFFFFF"/>
          <w:lang w:val="it-IT"/>
        </w:rPr>
        <w:t xml:space="preserve"> </w:t>
      </w:r>
      <w:r w:rsidR="00F428C6" w:rsidRPr="008849A8">
        <w:rPr>
          <w:rFonts w:cs="Arial"/>
          <w:b/>
          <w:color w:val="333333"/>
          <w:szCs w:val="18"/>
          <w:shd w:val="clear" w:color="auto" w:fill="FFFFFF"/>
          <w:lang w:val="it-IT"/>
        </w:rPr>
        <w:t>26</w:t>
      </w:r>
      <w:r w:rsidR="007C6A68" w:rsidRPr="008849A8">
        <w:rPr>
          <w:rFonts w:cs="Arial"/>
          <w:b/>
          <w:color w:val="333333"/>
          <w:szCs w:val="18"/>
          <w:shd w:val="clear" w:color="auto" w:fill="FFFFFF"/>
          <w:lang w:val="it-IT"/>
        </w:rPr>
        <w:t>-</w:t>
      </w:r>
      <w:r w:rsidR="00F428C6" w:rsidRPr="008849A8">
        <w:rPr>
          <w:rFonts w:cs="Arial"/>
          <w:b/>
          <w:color w:val="333333"/>
          <w:szCs w:val="18"/>
          <w:shd w:val="clear" w:color="auto" w:fill="FFFFFF"/>
          <w:lang w:val="it-IT"/>
        </w:rPr>
        <w:t>28</w:t>
      </w:r>
      <w:r w:rsidR="00797A9C" w:rsidRPr="008849A8">
        <w:rPr>
          <w:rFonts w:cs="Arial"/>
          <w:b/>
          <w:color w:val="333333"/>
          <w:szCs w:val="18"/>
          <w:shd w:val="clear" w:color="auto" w:fill="FFFFFF"/>
          <w:lang w:val="it-IT"/>
        </w:rPr>
        <w:t xml:space="preserve"> </w:t>
      </w:r>
      <w:r w:rsidR="007C6A68" w:rsidRPr="008849A8">
        <w:rPr>
          <w:rFonts w:cs="Arial"/>
          <w:b/>
          <w:color w:val="333333"/>
          <w:szCs w:val="18"/>
          <w:shd w:val="clear" w:color="auto" w:fill="FFFFFF"/>
          <w:lang w:val="it-IT"/>
        </w:rPr>
        <w:t>maggio</w:t>
      </w:r>
      <w:r w:rsidR="00F428C6" w:rsidRPr="008849A8">
        <w:rPr>
          <w:rFonts w:cs="Arial"/>
          <w:b/>
          <w:color w:val="333333"/>
          <w:szCs w:val="18"/>
          <w:shd w:val="clear" w:color="auto" w:fill="FFFFFF"/>
          <w:lang w:val="it-IT"/>
        </w:rPr>
        <w:t xml:space="preserve"> </w:t>
      </w:r>
      <w:r w:rsidR="00797A9C" w:rsidRPr="008849A8">
        <w:rPr>
          <w:rFonts w:cs="Arial"/>
          <w:b/>
          <w:color w:val="333333"/>
          <w:szCs w:val="18"/>
          <w:shd w:val="clear" w:color="auto" w:fill="FFFFFF"/>
          <w:lang w:val="it-IT"/>
        </w:rPr>
        <w:t>202</w:t>
      </w:r>
      <w:r w:rsidR="00F428C6" w:rsidRPr="008849A8">
        <w:rPr>
          <w:rFonts w:cs="Arial"/>
          <w:b/>
          <w:color w:val="333333"/>
          <w:szCs w:val="18"/>
          <w:shd w:val="clear" w:color="auto" w:fill="FFFFFF"/>
          <w:lang w:val="it-IT"/>
        </w:rPr>
        <w:t>6</w:t>
      </w:r>
      <w:r w:rsidR="00B97DDC" w:rsidRPr="008849A8">
        <w:rPr>
          <w:rFonts w:cs="Arial"/>
          <w:b/>
          <w:color w:val="333333"/>
          <w:szCs w:val="18"/>
          <w:shd w:val="clear" w:color="auto" w:fill="FFFFFF"/>
          <w:lang w:val="it-IT"/>
        </w:rPr>
        <w:t xml:space="preserve">, </w:t>
      </w:r>
      <w:r w:rsidR="007C6A68" w:rsidRPr="008849A8">
        <w:rPr>
          <w:rFonts w:cs="Arial"/>
          <w:b/>
          <w:color w:val="333333"/>
          <w:szCs w:val="18"/>
          <w:shd w:val="clear" w:color="auto" w:fill="FFFFFF"/>
          <w:lang w:val="it-IT"/>
        </w:rPr>
        <w:t>pad</w:t>
      </w:r>
      <w:r w:rsidR="0059382F" w:rsidRPr="008849A8">
        <w:rPr>
          <w:rFonts w:cs="Arial"/>
          <w:b/>
          <w:color w:val="333333"/>
          <w:szCs w:val="18"/>
          <w:shd w:val="clear" w:color="auto" w:fill="FFFFFF"/>
          <w:lang w:val="it-IT"/>
        </w:rPr>
        <w:t>.</w:t>
      </w:r>
      <w:r w:rsidR="007C6A68" w:rsidRPr="008849A8">
        <w:rPr>
          <w:rFonts w:cs="Arial"/>
          <w:b/>
          <w:color w:val="333333"/>
          <w:szCs w:val="18"/>
          <w:shd w:val="clear" w:color="auto" w:fill="FFFFFF"/>
          <w:lang w:val="it-IT"/>
        </w:rPr>
        <w:t xml:space="preserve"> </w:t>
      </w:r>
      <w:r w:rsidR="00F428C6" w:rsidRPr="008849A8">
        <w:rPr>
          <w:rFonts w:cs="Arial"/>
          <w:b/>
          <w:color w:val="333333"/>
          <w:szCs w:val="18"/>
          <w:shd w:val="clear" w:color="auto" w:fill="FFFFFF"/>
          <w:lang w:val="it-IT"/>
        </w:rPr>
        <w:t>3</w:t>
      </w:r>
      <w:r w:rsidR="00797A9C" w:rsidRPr="008849A8">
        <w:rPr>
          <w:rFonts w:cs="Arial"/>
          <w:b/>
          <w:color w:val="333333"/>
          <w:szCs w:val="18"/>
          <w:shd w:val="clear" w:color="auto" w:fill="FFFFFF"/>
          <w:lang w:val="it-IT"/>
        </w:rPr>
        <w:t xml:space="preserve">, </w:t>
      </w:r>
      <w:r w:rsidR="007C6A68" w:rsidRPr="008849A8">
        <w:rPr>
          <w:rFonts w:cs="Arial"/>
          <w:b/>
          <w:color w:val="333333"/>
          <w:szCs w:val="18"/>
          <w:shd w:val="clear" w:color="auto" w:fill="FFFFFF"/>
          <w:lang w:val="it-IT"/>
        </w:rPr>
        <w:t>stand</w:t>
      </w:r>
      <w:r w:rsidR="00797A9C" w:rsidRPr="008849A8">
        <w:rPr>
          <w:rFonts w:cs="Arial"/>
          <w:b/>
          <w:color w:val="333333"/>
          <w:szCs w:val="18"/>
          <w:shd w:val="clear" w:color="auto" w:fill="FFFFFF"/>
          <w:lang w:val="it-IT"/>
        </w:rPr>
        <w:t xml:space="preserve"> </w:t>
      </w:r>
      <w:r w:rsidR="00F428C6" w:rsidRPr="008849A8">
        <w:rPr>
          <w:rFonts w:cs="Arial"/>
          <w:b/>
          <w:color w:val="333333"/>
          <w:szCs w:val="18"/>
          <w:shd w:val="clear" w:color="auto" w:fill="FFFFFF"/>
          <w:lang w:val="it-IT"/>
        </w:rPr>
        <w:t>D040</w:t>
      </w:r>
    </w:p>
    <w:p w14:paraId="489D35C9" w14:textId="7DD94571" w:rsidR="00D73C9D" w:rsidRPr="001B374E" w:rsidRDefault="00A655DA" w:rsidP="00D73C9D">
      <w:pPr>
        <w:autoSpaceDE w:val="0"/>
        <w:autoSpaceDN w:val="0"/>
        <w:adjustRightInd w:val="0"/>
        <w:spacing w:line="276" w:lineRule="auto"/>
        <w:rPr>
          <w:rStyle w:val="Collegamentoipertestuale"/>
          <w:rFonts w:cs="Arial"/>
          <w:iCs/>
          <w:sz w:val="20"/>
          <w:szCs w:val="20"/>
        </w:rPr>
      </w:pPr>
      <w:r w:rsidRPr="001B374E">
        <w:rPr>
          <w:rStyle w:val="Collegamentoipertestuale"/>
        </w:rPr>
        <w:t>sps</w:t>
      </w:r>
      <w:r w:rsidR="00D73C9D" w:rsidRPr="001B374E">
        <w:rPr>
          <w:rStyle w:val="Collegamentoipertestuale"/>
          <w:rFonts w:cs="Arial"/>
          <w:iCs/>
          <w:sz w:val="20"/>
          <w:szCs w:val="20"/>
        </w:rPr>
        <w:t>.heidenhain.</w:t>
      </w:r>
      <w:r w:rsidR="00F428C6">
        <w:rPr>
          <w:rStyle w:val="Collegamentoipertestuale"/>
          <w:rFonts w:cs="Arial"/>
          <w:iCs/>
          <w:sz w:val="20"/>
          <w:szCs w:val="20"/>
        </w:rPr>
        <w:t xml:space="preserve">it </w:t>
      </w:r>
    </w:p>
    <w:p w14:paraId="450CDC4C" w14:textId="2CE22429" w:rsidR="00377030" w:rsidRPr="00F428C6" w:rsidRDefault="00F428C6" w:rsidP="00377030">
      <w:pPr>
        <w:autoSpaceDE w:val="0"/>
        <w:autoSpaceDN w:val="0"/>
        <w:adjustRightInd w:val="0"/>
        <w:spacing w:line="276" w:lineRule="auto"/>
        <w:rPr>
          <w:sz w:val="20"/>
          <w:szCs w:val="20"/>
        </w:rPr>
      </w:pPr>
      <w:hyperlink r:id="rId8" w:history="1">
        <w:r w:rsidRPr="00F428C6">
          <w:rPr>
            <w:rStyle w:val="Collegamentoipertestuale"/>
            <w:sz w:val="20"/>
            <w:szCs w:val="20"/>
          </w:rPr>
          <w:t>www.heidenhain.it</w:t>
        </w:r>
      </w:hyperlink>
    </w:p>
    <w:p w14:paraId="10CFE86C" w14:textId="77777777" w:rsidR="00F428C6" w:rsidRPr="001B374E" w:rsidRDefault="00F428C6" w:rsidP="00377030">
      <w:pPr>
        <w:autoSpaceDE w:val="0"/>
        <w:autoSpaceDN w:val="0"/>
        <w:adjustRightInd w:val="0"/>
        <w:spacing w:line="276" w:lineRule="auto"/>
      </w:pPr>
    </w:p>
    <w:tbl>
      <w:tblPr>
        <w:tblStyle w:val="Grigliatabella"/>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85" w:type="dxa"/>
          <w:bottom w:w="85" w:type="dxa"/>
          <w:right w:w="85" w:type="dxa"/>
        </w:tblCellMar>
        <w:tblLook w:val="04A0" w:firstRow="1" w:lastRow="0" w:firstColumn="1" w:lastColumn="0" w:noHBand="0" w:noVBand="1"/>
      </w:tblPr>
      <w:tblGrid>
        <w:gridCol w:w="4677"/>
        <w:gridCol w:w="4677"/>
      </w:tblGrid>
      <w:tr w:rsidR="003D4CB9" w:rsidRPr="001B374E" w14:paraId="70B39F38" w14:textId="77777777" w:rsidTr="00281C45">
        <w:tc>
          <w:tcPr>
            <w:tcW w:w="4677" w:type="dxa"/>
            <w:vAlign w:val="bottom"/>
          </w:tcPr>
          <w:p w14:paraId="451CE86B" w14:textId="3376CC74" w:rsidR="003D4CB9" w:rsidRPr="001B374E" w:rsidRDefault="00797A9C" w:rsidP="00BA48BF">
            <w:pPr>
              <w:spacing w:line="276" w:lineRule="auto"/>
              <w:rPr>
                <w:rFonts w:cs="Adobe Arabic"/>
              </w:rPr>
            </w:pPr>
            <w:r w:rsidRPr="001B374E">
              <w:rPr>
                <w:rFonts w:cs="Adobe Arabic"/>
                <w:noProof/>
              </w:rPr>
              <w:drawing>
                <wp:inline distT="0" distB="0" distL="0" distR="0" wp14:anchorId="7B024363" wp14:editId="1AF9C6A9">
                  <wp:extent cx="2686790" cy="1939830"/>
                  <wp:effectExtent l="0" t="0" r="0" b="3810"/>
                  <wp:docPr id="10506621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662115" name="Grafik 105066211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90101" cy="1942221"/>
                          </a:xfrm>
                          <a:prstGeom prst="rect">
                            <a:avLst/>
                          </a:prstGeom>
                        </pic:spPr>
                      </pic:pic>
                    </a:graphicData>
                  </a:graphic>
                </wp:inline>
              </w:drawing>
            </w:r>
          </w:p>
        </w:tc>
        <w:tc>
          <w:tcPr>
            <w:tcW w:w="4677" w:type="dxa"/>
            <w:vAlign w:val="bottom"/>
          </w:tcPr>
          <w:p w14:paraId="010D2791" w14:textId="4F8836D1" w:rsidR="003D4CB9" w:rsidRPr="00054DE7" w:rsidRDefault="00AC5ECF" w:rsidP="00A84B3D">
            <w:pPr>
              <w:spacing w:line="276" w:lineRule="auto"/>
              <w:rPr>
                <w:rFonts w:cs="Adobe Arabic"/>
                <w:i/>
                <w:lang w:val="it-IT"/>
              </w:rPr>
            </w:pPr>
            <w:r w:rsidRPr="00054DE7">
              <w:rPr>
                <w:rFonts w:cs="Adobe Arabic"/>
                <w:i/>
                <w:lang w:val="it-IT"/>
              </w:rPr>
              <w:t xml:space="preserve">Empower Productivity: HEIDENHAIN e i marchi </w:t>
            </w:r>
            <w:r w:rsidR="00631CE9" w:rsidRPr="00054DE7">
              <w:rPr>
                <w:rFonts w:cs="Adobe Arabic"/>
                <w:i/>
                <w:lang w:val="it-IT"/>
              </w:rPr>
              <w:t xml:space="preserve">AMO, ETEL, LEINE LINDE, LTN, NUMERIK JENA, RENCO e RSF </w:t>
            </w:r>
            <w:r w:rsidRPr="00054DE7">
              <w:rPr>
                <w:rFonts w:cs="Adobe Arabic"/>
                <w:i/>
                <w:lang w:val="it-IT"/>
              </w:rPr>
              <w:t>offrono la soluzione encoder ottimale per ogni applicazione nell’automazione e nella robotica.</w:t>
            </w:r>
          </w:p>
        </w:tc>
      </w:tr>
      <w:tr w:rsidR="000D6BF2" w:rsidRPr="001B374E" w14:paraId="39EDA28E" w14:textId="77777777" w:rsidTr="00281C45">
        <w:tc>
          <w:tcPr>
            <w:tcW w:w="4677" w:type="dxa"/>
            <w:vAlign w:val="bottom"/>
          </w:tcPr>
          <w:p w14:paraId="64AEA1BE" w14:textId="75FC6113" w:rsidR="000D6BF2" w:rsidRPr="001B374E" w:rsidRDefault="000D6BF2" w:rsidP="00BA48BF">
            <w:pPr>
              <w:spacing w:line="276" w:lineRule="auto"/>
              <w:rPr>
                <w:rFonts w:cs="Adobe Arabic"/>
                <w:noProof/>
              </w:rPr>
            </w:pPr>
            <w:r w:rsidRPr="001B374E">
              <w:rPr>
                <w:rFonts w:cs="Adobe Arabic"/>
                <w:noProof/>
              </w:rPr>
              <w:drawing>
                <wp:inline distT="0" distB="0" distL="0" distR="0" wp14:anchorId="6E251DE5" wp14:editId="0407BBA7">
                  <wp:extent cx="2861943" cy="1907424"/>
                  <wp:effectExtent l="0" t="0" r="0" b="0"/>
                  <wp:docPr id="948191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19133"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61943" cy="1907424"/>
                          </a:xfrm>
                          <a:prstGeom prst="rect">
                            <a:avLst/>
                          </a:prstGeom>
                        </pic:spPr>
                      </pic:pic>
                    </a:graphicData>
                  </a:graphic>
                </wp:inline>
              </w:drawing>
            </w:r>
          </w:p>
        </w:tc>
        <w:tc>
          <w:tcPr>
            <w:tcW w:w="4677" w:type="dxa"/>
            <w:vAlign w:val="bottom"/>
          </w:tcPr>
          <w:p w14:paraId="1A7FF52E" w14:textId="5338B4FA" w:rsidR="000D6BF2" w:rsidRPr="00054DE7" w:rsidRDefault="00AC5ECF" w:rsidP="00A84B3D">
            <w:pPr>
              <w:spacing w:line="276" w:lineRule="auto"/>
              <w:rPr>
                <w:rFonts w:cs="Adobe Arabic"/>
                <w:i/>
                <w:lang w:val="it-IT"/>
              </w:rPr>
            </w:pPr>
            <w:r w:rsidRPr="00054DE7">
              <w:rPr>
                <w:rFonts w:cs="Adobe Arabic"/>
                <w:i/>
                <w:lang w:val="it-IT"/>
              </w:rPr>
              <w:t>ECI 1116 completa la piattaforma degli encoder induttivi HEIDENHAIN.</w:t>
            </w:r>
          </w:p>
        </w:tc>
      </w:tr>
      <w:tr w:rsidR="008353D5" w:rsidRPr="001B374E" w14:paraId="389695A7" w14:textId="77777777" w:rsidTr="00EF542F">
        <w:tc>
          <w:tcPr>
            <w:tcW w:w="4677" w:type="dxa"/>
            <w:vAlign w:val="bottom"/>
          </w:tcPr>
          <w:p w14:paraId="1CCAC2AC" w14:textId="57F45695" w:rsidR="008353D5" w:rsidRPr="001B374E" w:rsidRDefault="00F32411" w:rsidP="00BA48BF">
            <w:pPr>
              <w:spacing w:line="276" w:lineRule="auto"/>
              <w:rPr>
                <w:rFonts w:cs="Adobe Arabic"/>
                <w:noProof/>
              </w:rPr>
            </w:pPr>
            <w:r w:rsidRPr="001B374E">
              <w:rPr>
                <w:rFonts w:cs="Adobe Arabic"/>
                <w:noProof/>
              </w:rPr>
              <w:drawing>
                <wp:inline distT="0" distB="0" distL="0" distR="0" wp14:anchorId="53AA7495" wp14:editId="3527FB9A">
                  <wp:extent cx="2861945" cy="1907540"/>
                  <wp:effectExtent l="0" t="0" r="0" b="0"/>
                  <wp:docPr id="17607124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712495" name="Grafik 176071249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1945" cy="1907540"/>
                          </a:xfrm>
                          <a:prstGeom prst="rect">
                            <a:avLst/>
                          </a:prstGeom>
                        </pic:spPr>
                      </pic:pic>
                    </a:graphicData>
                  </a:graphic>
                </wp:inline>
              </w:drawing>
            </w:r>
          </w:p>
        </w:tc>
        <w:tc>
          <w:tcPr>
            <w:tcW w:w="4677" w:type="dxa"/>
            <w:vAlign w:val="bottom"/>
          </w:tcPr>
          <w:p w14:paraId="299AF430" w14:textId="6D249C2A" w:rsidR="008353D5" w:rsidRPr="00054DE7" w:rsidRDefault="00AC5ECF" w:rsidP="00EF542F">
            <w:pPr>
              <w:spacing w:line="276" w:lineRule="auto"/>
              <w:rPr>
                <w:rFonts w:cs="Adobe Arabic"/>
                <w:i/>
                <w:lang w:val="it-IT"/>
              </w:rPr>
            </w:pPr>
            <w:r w:rsidRPr="00054DE7">
              <w:rPr>
                <w:rFonts w:cs="Adobe Arabic"/>
                <w:i/>
                <w:lang w:val="it-IT"/>
              </w:rPr>
              <w:t>Piattaforma versatile: i trasduttori rotativi induttivi delle serie ECI ed EQI di HEIDENHAIN con interfaccia EnDat 3 e due interfacce meccaniche offrono il motor feedback ottimale per ogni livello di prestazioni nell'automazione.</w:t>
            </w:r>
          </w:p>
        </w:tc>
      </w:tr>
      <w:tr w:rsidR="004504A8" w:rsidRPr="001B374E" w14:paraId="5AC02847" w14:textId="77777777" w:rsidTr="00EF542F">
        <w:tc>
          <w:tcPr>
            <w:tcW w:w="4677" w:type="dxa"/>
            <w:vAlign w:val="bottom"/>
          </w:tcPr>
          <w:p w14:paraId="69CCEFC0" w14:textId="690CC235" w:rsidR="004504A8" w:rsidRPr="001B374E" w:rsidRDefault="004504A8" w:rsidP="00BA48BF">
            <w:pPr>
              <w:spacing w:line="276" w:lineRule="auto"/>
              <w:rPr>
                <w:rFonts w:cs="Adobe Arabic"/>
                <w:noProof/>
              </w:rPr>
            </w:pPr>
            <w:r>
              <w:rPr>
                <w:rFonts w:cs="Adobe Arabic"/>
                <w:noProof/>
              </w:rPr>
              <w:drawing>
                <wp:inline distT="0" distB="0" distL="0" distR="0" wp14:anchorId="298351D5" wp14:editId="772D9789">
                  <wp:extent cx="2861945" cy="1431290"/>
                  <wp:effectExtent l="0" t="0" r="0" b="0"/>
                  <wp:docPr id="9566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653" name="Grafik 956653"/>
                          <pic:cNvPicPr/>
                        </pic:nvPicPr>
                        <pic:blipFill>
                          <a:blip r:embed="rId12">
                            <a:extLst>
                              <a:ext uri="{28A0092B-C50C-407E-A947-70E740481C1C}">
                                <a14:useLocalDpi xmlns:a14="http://schemas.microsoft.com/office/drawing/2010/main" val="0"/>
                              </a:ext>
                            </a:extLst>
                          </a:blip>
                          <a:stretch>
                            <a:fillRect/>
                          </a:stretch>
                        </pic:blipFill>
                        <pic:spPr>
                          <a:xfrm>
                            <a:off x="0" y="0"/>
                            <a:ext cx="2861945" cy="1431290"/>
                          </a:xfrm>
                          <a:prstGeom prst="rect">
                            <a:avLst/>
                          </a:prstGeom>
                        </pic:spPr>
                      </pic:pic>
                    </a:graphicData>
                  </a:graphic>
                </wp:inline>
              </w:drawing>
            </w:r>
          </w:p>
        </w:tc>
        <w:tc>
          <w:tcPr>
            <w:tcW w:w="4677" w:type="dxa"/>
            <w:vAlign w:val="bottom"/>
          </w:tcPr>
          <w:p w14:paraId="761690DB" w14:textId="7787DCAB" w:rsidR="004504A8" w:rsidRPr="00054DE7" w:rsidRDefault="006D0DCA" w:rsidP="00EF542F">
            <w:pPr>
              <w:spacing w:line="276" w:lineRule="auto"/>
              <w:rPr>
                <w:rFonts w:cs="Adobe Arabic"/>
                <w:i/>
                <w:lang w:val="it-IT"/>
              </w:rPr>
            </w:pPr>
            <w:r w:rsidRPr="00054DE7">
              <w:rPr>
                <w:rFonts w:cs="Adobe Arabic"/>
                <w:i/>
                <w:lang w:val="it-IT"/>
              </w:rPr>
              <w:t xml:space="preserve">Il nuovo sistema di misura lineare induttivo </w:t>
            </w:r>
            <w:r w:rsidR="004504A8" w:rsidRPr="00054DE7">
              <w:rPr>
                <w:rFonts w:cs="Adobe Arabic"/>
                <w:i/>
                <w:lang w:val="it-IT"/>
              </w:rPr>
              <w:t xml:space="preserve">ILC </w:t>
            </w:r>
            <w:r w:rsidRPr="00054DE7">
              <w:rPr>
                <w:rFonts w:cs="Adobe Arabic"/>
                <w:i/>
                <w:lang w:val="it-IT"/>
              </w:rPr>
              <w:t>di</w:t>
            </w:r>
            <w:r w:rsidR="004504A8" w:rsidRPr="00054DE7">
              <w:rPr>
                <w:rFonts w:cs="Adobe Arabic"/>
                <w:i/>
                <w:lang w:val="it-IT"/>
              </w:rPr>
              <w:t xml:space="preserve"> HEIDENHAIN: </w:t>
            </w:r>
            <w:r w:rsidRPr="00054DE7">
              <w:rPr>
                <w:rFonts w:cs="Adobe Arabic"/>
                <w:i/>
                <w:lang w:val="it-IT"/>
              </w:rPr>
              <w:t>r</w:t>
            </w:r>
            <w:r w:rsidR="004504A8" w:rsidRPr="00054DE7">
              <w:rPr>
                <w:rFonts w:cs="Adobe Arabic"/>
                <w:i/>
                <w:lang w:val="it-IT"/>
              </w:rPr>
              <w:t>obust</w:t>
            </w:r>
            <w:r w:rsidRPr="00054DE7">
              <w:rPr>
                <w:rFonts w:cs="Adobe Arabic"/>
                <w:i/>
                <w:lang w:val="it-IT"/>
              </w:rPr>
              <w:t xml:space="preserve">o e compatto per impianti di automazione particolarmente esposti a contaminazioni o </w:t>
            </w:r>
            <w:r w:rsidR="00364185">
              <w:rPr>
                <w:rFonts w:cs="Adobe Arabic"/>
                <w:i/>
                <w:lang w:val="it-IT"/>
              </w:rPr>
              <w:t>campi magnetici</w:t>
            </w:r>
            <w:r w:rsidR="004504A8" w:rsidRPr="00054DE7">
              <w:rPr>
                <w:rFonts w:cs="Adobe Arabic"/>
                <w:i/>
                <w:lang w:val="it-IT"/>
              </w:rPr>
              <w:t>.</w:t>
            </w:r>
          </w:p>
        </w:tc>
      </w:tr>
      <w:tr w:rsidR="00933176" w:rsidRPr="00733873" w14:paraId="63A1FBAF" w14:textId="77777777" w:rsidTr="00281C45">
        <w:tc>
          <w:tcPr>
            <w:tcW w:w="4677" w:type="dxa"/>
            <w:vAlign w:val="bottom"/>
          </w:tcPr>
          <w:p w14:paraId="6F459D49" w14:textId="192B7285" w:rsidR="00933176" w:rsidRPr="001B374E" w:rsidRDefault="008D412F" w:rsidP="00BA48BF">
            <w:pPr>
              <w:spacing w:line="276" w:lineRule="auto"/>
              <w:rPr>
                <w:rFonts w:cs="Adobe Arabic"/>
                <w:noProof/>
              </w:rPr>
            </w:pPr>
            <w:r>
              <w:rPr>
                <w:rFonts w:cs="Adobe Arabic"/>
                <w:noProof/>
              </w:rPr>
              <w:lastRenderedPageBreak/>
              <w:drawing>
                <wp:inline distT="0" distB="0" distL="0" distR="0" wp14:anchorId="29E42E8F" wp14:editId="74C3DE13">
                  <wp:extent cx="2857500" cy="1428750"/>
                  <wp:effectExtent l="0" t="0" r="0" b="0"/>
                  <wp:docPr id="14316247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1428750"/>
                          </a:xfrm>
                          <a:prstGeom prst="rect">
                            <a:avLst/>
                          </a:prstGeom>
                          <a:noFill/>
                          <a:ln>
                            <a:noFill/>
                          </a:ln>
                        </pic:spPr>
                      </pic:pic>
                    </a:graphicData>
                  </a:graphic>
                </wp:inline>
              </w:drawing>
            </w:r>
          </w:p>
        </w:tc>
        <w:tc>
          <w:tcPr>
            <w:tcW w:w="4677" w:type="dxa"/>
            <w:vAlign w:val="bottom"/>
          </w:tcPr>
          <w:p w14:paraId="5CAFE99C" w14:textId="22BC4B36" w:rsidR="00AC5ECF" w:rsidRPr="00AC5ECF" w:rsidRDefault="00AC5ECF" w:rsidP="008D412F">
            <w:pPr>
              <w:spacing w:line="276" w:lineRule="auto"/>
              <w:rPr>
                <w:rFonts w:cs="Adobe Arabic"/>
                <w:i/>
                <w:lang w:val="it-IT"/>
              </w:rPr>
            </w:pPr>
            <w:r w:rsidRPr="00AC5ECF">
              <w:rPr>
                <w:rFonts w:cs="Adobe Arabic"/>
                <w:i/>
                <w:lang w:val="it-IT"/>
              </w:rPr>
              <w:t>I nuovi modelli incrementali d</w:t>
            </w:r>
            <w:r>
              <w:rPr>
                <w:rFonts w:cs="Adobe Arabic"/>
                <w:i/>
                <w:lang w:val="it-IT"/>
              </w:rPr>
              <w:t>ella serie 600 di LEINE LINDE sono soluzioni testate per ambienti industriali impegnativi, esposti a umidità, detriti o forti vibrazioni.</w:t>
            </w:r>
          </w:p>
        </w:tc>
      </w:tr>
      <w:tr w:rsidR="001E4349" w:rsidRPr="001E4349" w14:paraId="7DA92AE5" w14:textId="77777777" w:rsidTr="00364185">
        <w:tc>
          <w:tcPr>
            <w:tcW w:w="4677" w:type="dxa"/>
            <w:vAlign w:val="bottom"/>
          </w:tcPr>
          <w:p w14:paraId="2F1E04C9" w14:textId="6737780E" w:rsidR="001E4349" w:rsidRDefault="001E4349" w:rsidP="00BA48BF">
            <w:pPr>
              <w:spacing w:line="276" w:lineRule="auto"/>
              <w:rPr>
                <w:rFonts w:cs="Adobe Arabic"/>
                <w:noProof/>
              </w:rPr>
            </w:pPr>
            <w:r>
              <w:rPr>
                <w:rFonts w:cs="Adobe Arabic"/>
                <w:noProof/>
              </w:rPr>
              <w:drawing>
                <wp:inline distT="0" distB="0" distL="0" distR="0" wp14:anchorId="5605B063" wp14:editId="3B35D807">
                  <wp:extent cx="2587557" cy="1863041"/>
                  <wp:effectExtent l="0" t="0" r="3810" b="4445"/>
                  <wp:docPr id="4208970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1350" cy="1865772"/>
                          </a:xfrm>
                          <a:prstGeom prst="rect">
                            <a:avLst/>
                          </a:prstGeom>
                          <a:noFill/>
                          <a:ln>
                            <a:noFill/>
                          </a:ln>
                        </pic:spPr>
                      </pic:pic>
                    </a:graphicData>
                  </a:graphic>
                </wp:inline>
              </w:drawing>
            </w:r>
          </w:p>
        </w:tc>
        <w:tc>
          <w:tcPr>
            <w:tcW w:w="4677" w:type="dxa"/>
            <w:vAlign w:val="bottom"/>
          </w:tcPr>
          <w:p w14:paraId="2DAA69CA" w14:textId="0A5C64A9" w:rsidR="001E4349" w:rsidRPr="00054DE7" w:rsidRDefault="006D0DCA" w:rsidP="008D412F">
            <w:pPr>
              <w:spacing w:line="276" w:lineRule="auto"/>
              <w:rPr>
                <w:rFonts w:cs="Adobe Arabic"/>
                <w:i/>
                <w:lang w:val="it-IT"/>
              </w:rPr>
            </w:pPr>
            <w:r w:rsidRPr="00054DE7">
              <w:rPr>
                <w:rFonts w:cs="Adobe Arabic"/>
                <w:i/>
                <w:lang w:val="it-IT"/>
              </w:rPr>
              <w:t xml:space="preserve">Encoder induttivo </w:t>
            </w:r>
            <w:r w:rsidR="001E4349" w:rsidRPr="00054DE7">
              <w:rPr>
                <w:rFonts w:cs="Adobe Arabic"/>
                <w:i/>
                <w:lang w:val="it-IT"/>
              </w:rPr>
              <w:t>ECI 1323 Splus</w:t>
            </w:r>
            <w:r w:rsidRPr="00054DE7">
              <w:rPr>
                <w:rFonts w:cs="Adobe Arabic"/>
                <w:i/>
                <w:lang w:val="it-IT"/>
              </w:rPr>
              <w:t xml:space="preserve"> HEIDENHAIN</w:t>
            </w:r>
            <w:r w:rsidR="001E4349" w:rsidRPr="00054DE7">
              <w:rPr>
                <w:rFonts w:cs="Adobe Arabic"/>
                <w:i/>
                <w:lang w:val="it-IT"/>
              </w:rPr>
              <w:t>:</w:t>
            </w:r>
            <w:r w:rsidRPr="00054DE7">
              <w:rPr>
                <w:rFonts w:cs="Adobe Arabic"/>
                <w:i/>
                <w:lang w:val="it-IT"/>
              </w:rPr>
              <w:t xml:space="preserve"> rilevamento della posizione e analisi delle vibrazioni in un unico encoder grazie a un sensore di accelerazione integrato e una microelettronica.</w:t>
            </w:r>
          </w:p>
        </w:tc>
      </w:tr>
      <w:tr w:rsidR="00042FDB" w:rsidRPr="00364185" w14:paraId="66AB228E" w14:textId="77777777" w:rsidTr="003641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4677" w:type="dxa"/>
            <w:tcBorders>
              <w:top w:val="nil"/>
              <w:left w:val="nil"/>
              <w:bottom w:val="nil"/>
              <w:right w:val="nil"/>
            </w:tcBorders>
          </w:tcPr>
          <w:p w14:paraId="11219298" w14:textId="406EECE7" w:rsidR="00565967" w:rsidRPr="00364185" w:rsidRDefault="00631CE9" w:rsidP="00D32050">
            <w:pPr>
              <w:spacing w:line="276" w:lineRule="auto"/>
              <w:rPr>
                <w:rFonts w:cs="Adobe Arabic"/>
                <w:noProof/>
              </w:rPr>
            </w:pPr>
            <w:r w:rsidRPr="00364185">
              <w:rPr>
                <w:rFonts w:cs="Adobe Arabic"/>
                <w:noProof/>
              </w:rPr>
              <w:drawing>
                <wp:inline distT="0" distB="0" distL="0" distR="0" wp14:anchorId="7A8331BB" wp14:editId="7BB296A4">
                  <wp:extent cx="2548467" cy="1607002"/>
                  <wp:effectExtent l="0" t="0" r="4445" b="0"/>
                  <wp:docPr id="7258526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852646" name=""/>
                          <pic:cNvPicPr/>
                        </pic:nvPicPr>
                        <pic:blipFill>
                          <a:blip r:embed="rId15"/>
                          <a:stretch>
                            <a:fillRect/>
                          </a:stretch>
                        </pic:blipFill>
                        <pic:spPr>
                          <a:xfrm>
                            <a:off x="0" y="0"/>
                            <a:ext cx="2568459" cy="1619609"/>
                          </a:xfrm>
                          <a:prstGeom prst="rect">
                            <a:avLst/>
                          </a:prstGeom>
                        </pic:spPr>
                      </pic:pic>
                    </a:graphicData>
                  </a:graphic>
                </wp:inline>
              </w:drawing>
            </w:r>
          </w:p>
        </w:tc>
        <w:tc>
          <w:tcPr>
            <w:tcW w:w="4677" w:type="dxa"/>
            <w:tcBorders>
              <w:top w:val="nil"/>
              <w:left w:val="nil"/>
              <w:bottom w:val="nil"/>
              <w:right w:val="nil"/>
            </w:tcBorders>
          </w:tcPr>
          <w:p w14:paraId="3A165F49" w14:textId="77777777" w:rsidR="00364185" w:rsidRDefault="00364185" w:rsidP="00364185">
            <w:pPr>
              <w:spacing w:line="276" w:lineRule="auto"/>
              <w:rPr>
                <w:rFonts w:cs="Adobe Arabic"/>
                <w:noProof/>
              </w:rPr>
            </w:pPr>
          </w:p>
          <w:p w14:paraId="79692B5F" w14:textId="77777777" w:rsidR="00364185" w:rsidRDefault="00364185" w:rsidP="00364185">
            <w:pPr>
              <w:spacing w:line="276" w:lineRule="auto"/>
              <w:rPr>
                <w:rFonts w:cs="Adobe Arabic"/>
                <w:noProof/>
              </w:rPr>
            </w:pPr>
          </w:p>
          <w:p w14:paraId="086439FA" w14:textId="77777777" w:rsidR="00364185" w:rsidRDefault="00364185" w:rsidP="00364185">
            <w:pPr>
              <w:spacing w:line="276" w:lineRule="auto"/>
              <w:rPr>
                <w:rFonts w:cs="Adobe Arabic"/>
                <w:noProof/>
              </w:rPr>
            </w:pPr>
          </w:p>
          <w:p w14:paraId="0C4481E9" w14:textId="77777777" w:rsidR="00364185" w:rsidRDefault="00364185" w:rsidP="00364185">
            <w:pPr>
              <w:spacing w:line="276" w:lineRule="auto"/>
              <w:rPr>
                <w:rFonts w:cs="Adobe Arabic"/>
                <w:noProof/>
              </w:rPr>
            </w:pPr>
          </w:p>
          <w:p w14:paraId="032B2B2B" w14:textId="77777777" w:rsidR="00364185" w:rsidRDefault="00364185" w:rsidP="00364185">
            <w:pPr>
              <w:spacing w:line="276" w:lineRule="auto"/>
              <w:rPr>
                <w:rFonts w:cs="Adobe Arabic"/>
                <w:noProof/>
              </w:rPr>
            </w:pPr>
          </w:p>
          <w:p w14:paraId="50018DD6" w14:textId="3B388AA2" w:rsidR="00565967" w:rsidRPr="00364185" w:rsidRDefault="00AC5ECF" w:rsidP="00364185">
            <w:pPr>
              <w:spacing w:line="276" w:lineRule="auto"/>
              <w:rPr>
                <w:rFonts w:cs="Adobe Arabic"/>
                <w:i/>
                <w:iCs/>
                <w:noProof/>
              </w:rPr>
            </w:pPr>
            <w:r w:rsidRPr="00364185">
              <w:rPr>
                <w:rFonts w:cs="Adobe Arabic"/>
                <w:i/>
                <w:iCs/>
                <w:noProof/>
              </w:rPr>
              <w:t>La gamma FSI di LEINE LINDE comprende le serie FSI 600, 800 e 900 con soluzioni di sicurezza scalabili per l’automazione industriale.</w:t>
            </w:r>
          </w:p>
        </w:tc>
      </w:tr>
    </w:tbl>
    <w:p w14:paraId="6CD7282D" w14:textId="77777777" w:rsidR="00335E9A" w:rsidRPr="00AC5ECF" w:rsidRDefault="00335E9A" w:rsidP="00B97DDC">
      <w:pPr>
        <w:rPr>
          <w:i/>
          <w:iCs/>
          <w:color w:val="FF0000"/>
          <w:lang w:val="it-IT"/>
        </w:rPr>
      </w:pPr>
    </w:p>
    <w:sectPr w:rsidR="00335E9A" w:rsidRPr="00AC5ECF" w:rsidSect="00733873">
      <w:headerReference w:type="default" r:id="rId16"/>
      <w:footerReference w:type="default" r:id="rId17"/>
      <w:pgSz w:w="11907" w:h="16840" w:code="9"/>
      <w:pgMar w:top="1871" w:right="1418" w:bottom="1135" w:left="1418" w:header="567" w:footer="454"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47C3" w14:textId="77777777" w:rsidR="00C00625" w:rsidRDefault="00C00625" w:rsidP="0091430D">
      <w:r>
        <w:separator/>
      </w:r>
    </w:p>
  </w:endnote>
  <w:endnote w:type="continuationSeparator" w:id="0">
    <w:p w14:paraId="36805C71" w14:textId="77777777" w:rsidR="00C00625" w:rsidRDefault="00C00625" w:rsidP="0091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obe Arabic">
    <w:panose1 w:val="00000000000000000000"/>
    <w:charset w:val="00"/>
    <w:family w:val="roman"/>
    <w:notTrueType/>
    <w:pitch w:val="variable"/>
    <w:sig w:usb0="00000000" w:usb1="8000A04A"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ecilia for LL Light">
    <w:altName w:val="Malgun Gothic"/>
    <w:charset w:val="00"/>
    <w:family w:val="auto"/>
    <w:pitch w:val="variable"/>
    <w:sig w:usb0="8000000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0C6C" w14:textId="77777777" w:rsidR="005D5128" w:rsidRDefault="005D5128" w:rsidP="003D4CB9">
    <w:pPr>
      <w:pStyle w:val="Pidipagina"/>
      <w:tabs>
        <w:tab w:val="clear" w:pos="4536"/>
      </w:tabs>
      <w:rPr>
        <w:sz w:val="20"/>
      </w:rPr>
    </w:pPr>
  </w:p>
  <w:p w14:paraId="0DE65019" w14:textId="7DF66FA5" w:rsidR="003D4CB9" w:rsidRPr="00F432DE" w:rsidRDefault="008D412F" w:rsidP="003D4CB9">
    <w:pPr>
      <w:pStyle w:val="Pidipagina"/>
      <w:tabs>
        <w:tab w:val="clear" w:pos="4536"/>
      </w:tabs>
      <w:rPr>
        <w:sz w:val="20"/>
      </w:rPr>
    </w:pPr>
    <w:r>
      <w:rPr>
        <w:sz w:val="20"/>
      </w:rPr>
      <w:t>Ma</w:t>
    </w:r>
    <w:r w:rsidR="00631CE9">
      <w:rPr>
        <w:sz w:val="20"/>
      </w:rPr>
      <w:t>ggio</w:t>
    </w:r>
    <w:r>
      <w:rPr>
        <w:sz w:val="20"/>
      </w:rPr>
      <w:t xml:space="preserve"> 2026</w:t>
    </w:r>
    <w:r w:rsidR="003D4CB9" w:rsidRPr="00F432DE">
      <w:rPr>
        <w:sz w:val="20"/>
      </w:rPr>
      <w:tab/>
    </w:r>
    <w:sdt>
      <w:sdtPr>
        <w:rPr>
          <w:sz w:val="20"/>
        </w:rPr>
        <w:id w:val="-496501173"/>
        <w:docPartObj>
          <w:docPartGallery w:val="Page Numbers (Bottom of Page)"/>
          <w:docPartUnique/>
        </w:docPartObj>
      </w:sdtPr>
      <w:sdtContent>
        <w:r w:rsidR="00631CE9">
          <w:rPr>
            <w:sz w:val="20"/>
          </w:rPr>
          <w:t>pagina</w:t>
        </w:r>
        <w:r w:rsidR="003D4CB9" w:rsidRPr="00F432DE">
          <w:rPr>
            <w:sz w:val="20"/>
          </w:rPr>
          <w:t xml:space="preserve"> </w:t>
        </w:r>
        <w:r w:rsidR="003D4CB9" w:rsidRPr="00F432DE">
          <w:rPr>
            <w:sz w:val="20"/>
          </w:rPr>
          <w:fldChar w:fldCharType="begin"/>
        </w:r>
        <w:r w:rsidR="003D4CB9" w:rsidRPr="00F432DE">
          <w:rPr>
            <w:sz w:val="20"/>
          </w:rPr>
          <w:instrText>PAGE   \* MERGEFORMAT</w:instrText>
        </w:r>
        <w:r w:rsidR="003D4CB9" w:rsidRPr="00F432DE">
          <w:rPr>
            <w:sz w:val="20"/>
          </w:rPr>
          <w:fldChar w:fldCharType="separate"/>
        </w:r>
        <w:r w:rsidR="000E63B0">
          <w:rPr>
            <w:noProof/>
            <w:sz w:val="20"/>
          </w:rPr>
          <w:t>5</w:t>
        </w:r>
        <w:r w:rsidR="003D4CB9" w:rsidRPr="00F432DE">
          <w:rPr>
            <w:sz w:val="20"/>
          </w:rPr>
          <w:fldChar w:fldCharType="end"/>
        </w:r>
      </w:sdtContent>
    </w:sdt>
  </w:p>
  <w:p w14:paraId="579B7FC9" w14:textId="77777777" w:rsidR="003D4CB9" w:rsidRDefault="003D4CB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167E" w14:textId="77777777" w:rsidR="00C00625" w:rsidRDefault="00C00625" w:rsidP="0091430D">
      <w:r>
        <w:separator/>
      </w:r>
    </w:p>
  </w:footnote>
  <w:footnote w:type="continuationSeparator" w:id="0">
    <w:p w14:paraId="0EC036B1" w14:textId="77777777" w:rsidR="00C00625" w:rsidRDefault="00C00625" w:rsidP="0091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2ECD" w14:textId="760212F3" w:rsidR="003555A6" w:rsidRDefault="00631CE9" w:rsidP="001938A0">
    <w:pPr>
      <w:pStyle w:val="Intestazione"/>
      <w:spacing w:before="120"/>
      <w:rPr>
        <w:b/>
      </w:rPr>
    </w:pPr>
    <w:r>
      <w:rPr>
        <w:b/>
      </w:rPr>
      <w:t>Comunicato stampa</w:t>
    </w:r>
    <w:r w:rsidR="008808DE">
      <w:rPr>
        <w:b/>
      </w:rPr>
      <w:tab/>
    </w:r>
    <w:r w:rsidR="003555A6">
      <w:rPr>
        <w:b/>
      </w:rPr>
      <w:tab/>
    </w:r>
    <w:r w:rsidR="003555A6">
      <w:rPr>
        <w:b/>
        <w:noProof/>
        <w:lang w:eastAsia="de-DE"/>
      </w:rPr>
      <w:drawing>
        <wp:inline distT="0" distB="0" distL="0" distR="0" wp14:anchorId="600BE8E4" wp14:editId="43F24DCB">
          <wp:extent cx="1627505" cy="194310"/>
          <wp:effectExtent l="19050" t="0" r="0" b="0"/>
          <wp:docPr id="145763447" name="Grafik 145763447" descr="HEIDENHAIN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IDENHAIN_klein"/>
                  <pic:cNvPicPr>
                    <a:picLocks noChangeAspect="1" noChangeArrowheads="1"/>
                  </pic:cNvPicPr>
                </pic:nvPicPr>
                <pic:blipFill>
                  <a:blip r:embed="rId1"/>
                  <a:srcRect/>
                  <a:stretch>
                    <a:fillRect/>
                  </a:stretch>
                </pic:blipFill>
                <pic:spPr bwMode="auto">
                  <a:xfrm>
                    <a:off x="0" y="0"/>
                    <a:ext cx="1627505" cy="1943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3A6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FF0C15B2"/>
    <w:lvl w:ilvl="0">
      <w:start w:val="1"/>
      <w:numFmt w:val="bullet"/>
      <w:pStyle w:val="Puntoelenco"/>
      <w:lvlText w:val=""/>
      <w:lvlJc w:val="left"/>
      <w:pPr>
        <w:ind w:left="360" w:hanging="360"/>
      </w:pPr>
      <w:rPr>
        <w:rFonts w:ascii="Symbol" w:hAnsi="Symbol" w:hint="default"/>
        <w:color w:val="005C84"/>
      </w:rPr>
    </w:lvl>
  </w:abstractNum>
  <w:abstractNum w:abstractNumId="2" w15:restartNumberingAfterBreak="0">
    <w:nsid w:val="0DE83851"/>
    <w:multiLevelType w:val="hybridMultilevel"/>
    <w:tmpl w:val="87FEB5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CC2295"/>
    <w:multiLevelType w:val="hybridMultilevel"/>
    <w:tmpl w:val="4790E87A"/>
    <w:lvl w:ilvl="0" w:tplc="D66CA2A6">
      <w:numFmt w:val="bullet"/>
      <w:lvlText w:val=""/>
      <w:lvlJc w:val="left"/>
      <w:pPr>
        <w:ind w:left="360" w:hanging="360"/>
      </w:pPr>
      <w:rPr>
        <w:rFonts w:ascii="Symbol" w:eastAsiaTheme="minorHAnsi" w:hAnsi="Symbol" w:cs="Adobe Arabic" w:hint="default"/>
      </w:r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4" w15:restartNumberingAfterBreak="0">
    <w:nsid w:val="129C2D66"/>
    <w:multiLevelType w:val="multilevel"/>
    <w:tmpl w:val="040C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471F2B02"/>
    <w:multiLevelType w:val="hybridMultilevel"/>
    <w:tmpl w:val="4FF61E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12328717">
    <w:abstractNumId w:val="4"/>
  </w:num>
  <w:num w:numId="2" w16cid:durableId="5371577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6349192">
    <w:abstractNumId w:val="3"/>
  </w:num>
  <w:num w:numId="4" w16cid:durableId="31659957">
    <w:abstractNumId w:val="2"/>
  </w:num>
  <w:num w:numId="5" w16cid:durableId="317807610">
    <w:abstractNumId w:val="5"/>
  </w:num>
  <w:num w:numId="6" w16cid:durableId="2108768041">
    <w:abstractNumId w:val="0"/>
  </w:num>
  <w:num w:numId="7" w16cid:durableId="1547376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2C"/>
    <w:rsid w:val="00001766"/>
    <w:rsid w:val="00004D13"/>
    <w:rsid w:val="00004E58"/>
    <w:rsid w:val="000053C5"/>
    <w:rsid w:val="000127D1"/>
    <w:rsid w:val="00020177"/>
    <w:rsid w:val="00025E64"/>
    <w:rsid w:val="00026B4D"/>
    <w:rsid w:val="0003003E"/>
    <w:rsid w:val="0003362B"/>
    <w:rsid w:val="00035D9D"/>
    <w:rsid w:val="000372B6"/>
    <w:rsid w:val="0004008A"/>
    <w:rsid w:val="000428B9"/>
    <w:rsid w:val="00042FDB"/>
    <w:rsid w:val="00045130"/>
    <w:rsid w:val="00046798"/>
    <w:rsid w:val="00046E42"/>
    <w:rsid w:val="0005391D"/>
    <w:rsid w:val="00054DE7"/>
    <w:rsid w:val="00057A67"/>
    <w:rsid w:val="00060E05"/>
    <w:rsid w:val="00061D94"/>
    <w:rsid w:val="00062671"/>
    <w:rsid w:val="00075EE6"/>
    <w:rsid w:val="00083796"/>
    <w:rsid w:val="00084A5C"/>
    <w:rsid w:val="00085108"/>
    <w:rsid w:val="0008625A"/>
    <w:rsid w:val="000868FC"/>
    <w:rsid w:val="000918CA"/>
    <w:rsid w:val="00093E20"/>
    <w:rsid w:val="00095AF8"/>
    <w:rsid w:val="000A2E31"/>
    <w:rsid w:val="000B02AE"/>
    <w:rsid w:val="000B27A8"/>
    <w:rsid w:val="000B6ADE"/>
    <w:rsid w:val="000C3F0E"/>
    <w:rsid w:val="000C66E8"/>
    <w:rsid w:val="000D6BF2"/>
    <w:rsid w:val="000E63B0"/>
    <w:rsid w:val="000E696D"/>
    <w:rsid w:val="000F6355"/>
    <w:rsid w:val="00104227"/>
    <w:rsid w:val="00106AEA"/>
    <w:rsid w:val="001076B5"/>
    <w:rsid w:val="00116B7F"/>
    <w:rsid w:val="00122B45"/>
    <w:rsid w:val="00127258"/>
    <w:rsid w:val="001343DE"/>
    <w:rsid w:val="00152261"/>
    <w:rsid w:val="00152390"/>
    <w:rsid w:val="001632DA"/>
    <w:rsid w:val="00167401"/>
    <w:rsid w:val="00167708"/>
    <w:rsid w:val="001814BA"/>
    <w:rsid w:val="00183B00"/>
    <w:rsid w:val="001938A0"/>
    <w:rsid w:val="001A4344"/>
    <w:rsid w:val="001A68BD"/>
    <w:rsid w:val="001B1471"/>
    <w:rsid w:val="001B374E"/>
    <w:rsid w:val="001B60CC"/>
    <w:rsid w:val="001B6D6B"/>
    <w:rsid w:val="001B7062"/>
    <w:rsid w:val="001D2A34"/>
    <w:rsid w:val="001E4349"/>
    <w:rsid w:val="001E62C6"/>
    <w:rsid w:val="001E7E8E"/>
    <w:rsid w:val="00200B6A"/>
    <w:rsid w:val="002110ED"/>
    <w:rsid w:val="00211DB8"/>
    <w:rsid w:val="00212759"/>
    <w:rsid w:val="00212EE2"/>
    <w:rsid w:val="00215A79"/>
    <w:rsid w:val="002457AD"/>
    <w:rsid w:val="00255D1C"/>
    <w:rsid w:val="00263370"/>
    <w:rsid w:val="00263D2D"/>
    <w:rsid w:val="002651B1"/>
    <w:rsid w:val="002667D8"/>
    <w:rsid w:val="00274423"/>
    <w:rsid w:val="00274FE0"/>
    <w:rsid w:val="00281C45"/>
    <w:rsid w:val="00283405"/>
    <w:rsid w:val="002838D1"/>
    <w:rsid w:val="0028442E"/>
    <w:rsid w:val="00290658"/>
    <w:rsid w:val="00294B2C"/>
    <w:rsid w:val="002A4DA5"/>
    <w:rsid w:val="002A6C7A"/>
    <w:rsid w:val="002B1591"/>
    <w:rsid w:val="002B4166"/>
    <w:rsid w:val="002B5943"/>
    <w:rsid w:val="002C264D"/>
    <w:rsid w:val="002C2D19"/>
    <w:rsid w:val="002C345D"/>
    <w:rsid w:val="002C3DC4"/>
    <w:rsid w:val="002D39CF"/>
    <w:rsid w:val="002D51E3"/>
    <w:rsid w:val="00306280"/>
    <w:rsid w:val="00310BA8"/>
    <w:rsid w:val="00313E6D"/>
    <w:rsid w:val="003150E3"/>
    <w:rsid w:val="00317BD4"/>
    <w:rsid w:val="00321A88"/>
    <w:rsid w:val="00324786"/>
    <w:rsid w:val="003257D4"/>
    <w:rsid w:val="003259E8"/>
    <w:rsid w:val="003261A3"/>
    <w:rsid w:val="003263E6"/>
    <w:rsid w:val="00334FD7"/>
    <w:rsid w:val="00335013"/>
    <w:rsid w:val="00335E9A"/>
    <w:rsid w:val="00337139"/>
    <w:rsid w:val="0034317A"/>
    <w:rsid w:val="00351F66"/>
    <w:rsid w:val="0035434D"/>
    <w:rsid w:val="0035525C"/>
    <w:rsid w:val="003555A6"/>
    <w:rsid w:val="003566B6"/>
    <w:rsid w:val="00357A90"/>
    <w:rsid w:val="00364185"/>
    <w:rsid w:val="00371EBE"/>
    <w:rsid w:val="00375378"/>
    <w:rsid w:val="003754AA"/>
    <w:rsid w:val="00377030"/>
    <w:rsid w:val="00377391"/>
    <w:rsid w:val="0038307A"/>
    <w:rsid w:val="0038317E"/>
    <w:rsid w:val="003864D2"/>
    <w:rsid w:val="003866E3"/>
    <w:rsid w:val="0039200C"/>
    <w:rsid w:val="003A1CBE"/>
    <w:rsid w:val="003B1D53"/>
    <w:rsid w:val="003B2AD8"/>
    <w:rsid w:val="003B6E84"/>
    <w:rsid w:val="003C11A0"/>
    <w:rsid w:val="003D14B6"/>
    <w:rsid w:val="003D3C8D"/>
    <w:rsid w:val="003D4CB9"/>
    <w:rsid w:val="003D7E41"/>
    <w:rsid w:val="003E0B6D"/>
    <w:rsid w:val="003E417B"/>
    <w:rsid w:val="003F0B65"/>
    <w:rsid w:val="003F32BD"/>
    <w:rsid w:val="003F6B54"/>
    <w:rsid w:val="003F7859"/>
    <w:rsid w:val="004154C0"/>
    <w:rsid w:val="0041650E"/>
    <w:rsid w:val="004318A8"/>
    <w:rsid w:val="00431A5E"/>
    <w:rsid w:val="00434FB6"/>
    <w:rsid w:val="004355FD"/>
    <w:rsid w:val="004363CA"/>
    <w:rsid w:val="004368C7"/>
    <w:rsid w:val="00437499"/>
    <w:rsid w:val="004418D4"/>
    <w:rsid w:val="004504A8"/>
    <w:rsid w:val="00450667"/>
    <w:rsid w:val="00450ADE"/>
    <w:rsid w:val="0045290E"/>
    <w:rsid w:val="00454588"/>
    <w:rsid w:val="00457C9D"/>
    <w:rsid w:val="00466631"/>
    <w:rsid w:val="00475465"/>
    <w:rsid w:val="004818D0"/>
    <w:rsid w:val="0049111D"/>
    <w:rsid w:val="004A010A"/>
    <w:rsid w:val="004A2E44"/>
    <w:rsid w:val="004A57F3"/>
    <w:rsid w:val="004A605C"/>
    <w:rsid w:val="004B3D68"/>
    <w:rsid w:val="004B56C0"/>
    <w:rsid w:val="004C3052"/>
    <w:rsid w:val="004C51D5"/>
    <w:rsid w:val="004D3DA1"/>
    <w:rsid w:val="004D719F"/>
    <w:rsid w:val="004E0C73"/>
    <w:rsid w:val="004E0D31"/>
    <w:rsid w:val="004E1EFE"/>
    <w:rsid w:val="004E2A63"/>
    <w:rsid w:val="004F0053"/>
    <w:rsid w:val="004F6CE3"/>
    <w:rsid w:val="00500E9E"/>
    <w:rsid w:val="005121E1"/>
    <w:rsid w:val="005153F0"/>
    <w:rsid w:val="00516792"/>
    <w:rsid w:val="00521B4C"/>
    <w:rsid w:val="0053234F"/>
    <w:rsid w:val="005516FA"/>
    <w:rsid w:val="005559C2"/>
    <w:rsid w:val="00560B58"/>
    <w:rsid w:val="00563FC4"/>
    <w:rsid w:val="00565967"/>
    <w:rsid w:val="00581CCE"/>
    <w:rsid w:val="005821E1"/>
    <w:rsid w:val="00582DD9"/>
    <w:rsid w:val="00582F30"/>
    <w:rsid w:val="00584849"/>
    <w:rsid w:val="00586C01"/>
    <w:rsid w:val="005915F6"/>
    <w:rsid w:val="00593634"/>
    <w:rsid w:val="0059382F"/>
    <w:rsid w:val="00595438"/>
    <w:rsid w:val="005A1218"/>
    <w:rsid w:val="005A29AD"/>
    <w:rsid w:val="005A2C40"/>
    <w:rsid w:val="005B152F"/>
    <w:rsid w:val="005B3F5F"/>
    <w:rsid w:val="005B4D50"/>
    <w:rsid w:val="005B5DBD"/>
    <w:rsid w:val="005C6192"/>
    <w:rsid w:val="005C7C77"/>
    <w:rsid w:val="005D0700"/>
    <w:rsid w:val="005D2C7B"/>
    <w:rsid w:val="005D5128"/>
    <w:rsid w:val="005D719F"/>
    <w:rsid w:val="005E2BFB"/>
    <w:rsid w:val="005E7D0D"/>
    <w:rsid w:val="005F2AF0"/>
    <w:rsid w:val="006032D3"/>
    <w:rsid w:val="00616166"/>
    <w:rsid w:val="00626D63"/>
    <w:rsid w:val="0063009A"/>
    <w:rsid w:val="00631CE9"/>
    <w:rsid w:val="00632BC7"/>
    <w:rsid w:val="006355EE"/>
    <w:rsid w:val="00635D3B"/>
    <w:rsid w:val="00643ACC"/>
    <w:rsid w:val="00652C63"/>
    <w:rsid w:val="006577EB"/>
    <w:rsid w:val="0065788D"/>
    <w:rsid w:val="00661039"/>
    <w:rsid w:val="006758B8"/>
    <w:rsid w:val="00695482"/>
    <w:rsid w:val="00696528"/>
    <w:rsid w:val="006B23F0"/>
    <w:rsid w:val="006B3CB1"/>
    <w:rsid w:val="006B3D39"/>
    <w:rsid w:val="006B4F68"/>
    <w:rsid w:val="006C0084"/>
    <w:rsid w:val="006C22A5"/>
    <w:rsid w:val="006C4D06"/>
    <w:rsid w:val="006C641E"/>
    <w:rsid w:val="006C7495"/>
    <w:rsid w:val="006D0DCA"/>
    <w:rsid w:val="006D1007"/>
    <w:rsid w:val="006D3EBC"/>
    <w:rsid w:val="006D4E4B"/>
    <w:rsid w:val="006E1F8C"/>
    <w:rsid w:val="006E4066"/>
    <w:rsid w:val="006F37F4"/>
    <w:rsid w:val="006F3E0F"/>
    <w:rsid w:val="006F41B7"/>
    <w:rsid w:val="006F4F9C"/>
    <w:rsid w:val="00706824"/>
    <w:rsid w:val="0071000F"/>
    <w:rsid w:val="00717BDD"/>
    <w:rsid w:val="007221CB"/>
    <w:rsid w:val="00727F41"/>
    <w:rsid w:val="00731D27"/>
    <w:rsid w:val="00733873"/>
    <w:rsid w:val="007347B8"/>
    <w:rsid w:val="00744603"/>
    <w:rsid w:val="00750D1A"/>
    <w:rsid w:val="00756EE4"/>
    <w:rsid w:val="00770091"/>
    <w:rsid w:val="00771DB3"/>
    <w:rsid w:val="0077228B"/>
    <w:rsid w:val="0077601D"/>
    <w:rsid w:val="0078495B"/>
    <w:rsid w:val="00794393"/>
    <w:rsid w:val="0079498A"/>
    <w:rsid w:val="0079517F"/>
    <w:rsid w:val="007956E2"/>
    <w:rsid w:val="0079650B"/>
    <w:rsid w:val="00796ECD"/>
    <w:rsid w:val="00796FDF"/>
    <w:rsid w:val="00797A9C"/>
    <w:rsid w:val="007A4264"/>
    <w:rsid w:val="007A4345"/>
    <w:rsid w:val="007A4F06"/>
    <w:rsid w:val="007B3EFC"/>
    <w:rsid w:val="007B5290"/>
    <w:rsid w:val="007B5A2E"/>
    <w:rsid w:val="007C191B"/>
    <w:rsid w:val="007C1A90"/>
    <w:rsid w:val="007C4DC3"/>
    <w:rsid w:val="007C6A68"/>
    <w:rsid w:val="007C7E21"/>
    <w:rsid w:val="007D48AB"/>
    <w:rsid w:val="007E00B0"/>
    <w:rsid w:val="007E0104"/>
    <w:rsid w:val="007F7AE1"/>
    <w:rsid w:val="00802E48"/>
    <w:rsid w:val="00806A90"/>
    <w:rsid w:val="00814F20"/>
    <w:rsid w:val="00822665"/>
    <w:rsid w:val="008346FF"/>
    <w:rsid w:val="008353D5"/>
    <w:rsid w:val="00835EA9"/>
    <w:rsid w:val="008407A8"/>
    <w:rsid w:val="00843288"/>
    <w:rsid w:val="008500A1"/>
    <w:rsid w:val="008518F6"/>
    <w:rsid w:val="008603F3"/>
    <w:rsid w:val="00865838"/>
    <w:rsid w:val="00866D02"/>
    <w:rsid w:val="0088056E"/>
    <w:rsid w:val="008806CC"/>
    <w:rsid w:val="008808DE"/>
    <w:rsid w:val="00884491"/>
    <w:rsid w:val="008849A8"/>
    <w:rsid w:val="008871B4"/>
    <w:rsid w:val="00887956"/>
    <w:rsid w:val="008915F3"/>
    <w:rsid w:val="00894D28"/>
    <w:rsid w:val="00896AD5"/>
    <w:rsid w:val="008A03B3"/>
    <w:rsid w:val="008A6456"/>
    <w:rsid w:val="008A6540"/>
    <w:rsid w:val="008A68D9"/>
    <w:rsid w:val="008C02D1"/>
    <w:rsid w:val="008D412F"/>
    <w:rsid w:val="008E17E1"/>
    <w:rsid w:val="008E584F"/>
    <w:rsid w:val="008E6A48"/>
    <w:rsid w:val="008F402C"/>
    <w:rsid w:val="00904E51"/>
    <w:rsid w:val="00907494"/>
    <w:rsid w:val="00913BE7"/>
    <w:rsid w:val="0091430D"/>
    <w:rsid w:val="00915EFB"/>
    <w:rsid w:val="009169C2"/>
    <w:rsid w:val="00921FB5"/>
    <w:rsid w:val="009245BA"/>
    <w:rsid w:val="00933176"/>
    <w:rsid w:val="00942DD4"/>
    <w:rsid w:val="00942F78"/>
    <w:rsid w:val="009442FE"/>
    <w:rsid w:val="0094781E"/>
    <w:rsid w:val="009504D3"/>
    <w:rsid w:val="00951569"/>
    <w:rsid w:val="00952826"/>
    <w:rsid w:val="00952CA1"/>
    <w:rsid w:val="0095347A"/>
    <w:rsid w:val="00953761"/>
    <w:rsid w:val="00961A82"/>
    <w:rsid w:val="0096312C"/>
    <w:rsid w:val="00963479"/>
    <w:rsid w:val="00964A63"/>
    <w:rsid w:val="00964FC8"/>
    <w:rsid w:val="009733AE"/>
    <w:rsid w:val="00975A0B"/>
    <w:rsid w:val="00980199"/>
    <w:rsid w:val="00982455"/>
    <w:rsid w:val="00986DD1"/>
    <w:rsid w:val="00995BCC"/>
    <w:rsid w:val="009970E3"/>
    <w:rsid w:val="009A348C"/>
    <w:rsid w:val="009A7518"/>
    <w:rsid w:val="009A7644"/>
    <w:rsid w:val="009B379B"/>
    <w:rsid w:val="009B67F1"/>
    <w:rsid w:val="009B6929"/>
    <w:rsid w:val="009C6BF8"/>
    <w:rsid w:val="009D15B9"/>
    <w:rsid w:val="009D16F3"/>
    <w:rsid w:val="009D175A"/>
    <w:rsid w:val="009D5CDA"/>
    <w:rsid w:val="009E37E6"/>
    <w:rsid w:val="009F4490"/>
    <w:rsid w:val="009F62B1"/>
    <w:rsid w:val="00A049BC"/>
    <w:rsid w:val="00A229D7"/>
    <w:rsid w:val="00A26F2B"/>
    <w:rsid w:val="00A304F6"/>
    <w:rsid w:val="00A320F1"/>
    <w:rsid w:val="00A324BC"/>
    <w:rsid w:val="00A36219"/>
    <w:rsid w:val="00A46A12"/>
    <w:rsid w:val="00A518A1"/>
    <w:rsid w:val="00A54397"/>
    <w:rsid w:val="00A5554E"/>
    <w:rsid w:val="00A56B23"/>
    <w:rsid w:val="00A571B8"/>
    <w:rsid w:val="00A60CD1"/>
    <w:rsid w:val="00A62B93"/>
    <w:rsid w:val="00A655DA"/>
    <w:rsid w:val="00A713E3"/>
    <w:rsid w:val="00A83AA1"/>
    <w:rsid w:val="00A84B3D"/>
    <w:rsid w:val="00A85AD3"/>
    <w:rsid w:val="00A93A28"/>
    <w:rsid w:val="00AA758E"/>
    <w:rsid w:val="00AA7AD2"/>
    <w:rsid w:val="00AA7CBE"/>
    <w:rsid w:val="00AB2D9D"/>
    <w:rsid w:val="00AC41CD"/>
    <w:rsid w:val="00AC5ECF"/>
    <w:rsid w:val="00AE0389"/>
    <w:rsid w:val="00AE2D1E"/>
    <w:rsid w:val="00AE3086"/>
    <w:rsid w:val="00AE5767"/>
    <w:rsid w:val="00AF23A8"/>
    <w:rsid w:val="00AF30BC"/>
    <w:rsid w:val="00AF5755"/>
    <w:rsid w:val="00B07FE0"/>
    <w:rsid w:val="00B10896"/>
    <w:rsid w:val="00B12E17"/>
    <w:rsid w:val="00B14E54"/>
    <w:rsid w:val="00B1799D"/>
    <w:rsid w:val="00B23E65"/>
    <w:rsid w:val="00B2689C"/>
    <w:rsid w:val="00B56CC6"/>
    <w:rsid w:val="00B62576"/>
    <w:rsid w:val="00B62AB4"/>
    <w:rsid w:val="00B64F03"/>
    <w:rsid w:val="00B6511B"/>
    <w:rsid w:val="00B65E49"/>
    <w:rsid w:val="00B823B1"/>
    <w:rsid w:val="00B87B80"/>
    <w:rsid w:val="00B92F2C"/>
    <w:rsid w:val="00B95935"/>
    <w:rsid w:val="00B97DDC"/>
    <w:rsid w:val="00BA0BD4"/>
    <w:rsid w:val="00BA426A"/>
    <w:rsid w:val="00BA48BF"/>
    <w:rsid w:val="00BA6D2B"/>
    <w:rsid w:val="00BB1CBB"/>
    <w:rsid w:val="00BB6E04"/>
    <w:rsid w:val="00BB755F"/>
    <w:rsid w:val="00BC152E"/>
    <w:rsid w:val="00BD0A7A"/>
    <w:rsid w:val="00BD1D5C"/>
    <w:rsid w:val="00BD242B"/>
    <w:rsid w:val="00BE2B95"/>
    <w:rsid w:val="00BF340B"/>
    <w:rsid w:val="00BF4098"/>
    <w:rsid w:val="00BF47F6"/>
    <w:rsid w:val="00C00625"/>
    <w:rsid w:val="00C061BC"/>
    <w:rsid w:val="00C0743C"/>
    <w:rsid w:val="00C10403"/>
    <w:rsid w:val="00C13283"/>
    <w:rsid w:val="00C17634"/>
    <w:rsid w:val="00C21CBA"/>
    <w:rsid w:val="00C24CB4"/>
    <w:rsid w:val="00C27FD1"/>
    <w:rsid w:val="00C303B3"/>
    <w:rsid w:val="00C3144E"/>
    <w:rsid w:val="00C35316"/>
    <w:rsid w:val="00C36CB1"/>
    <w:rsid w:val="00C40AB9"/>
    <w:rsid w:val="00C46F38"/>
    <w:rsid w:val="00C46F49"/>
    <w:rsid w:val="00C5040F"/>
    <w:rsid w:val="00C608DE"/>
    <w:rsid w:val="00C62A38"/>
    <w:rsid w:val="00C70D7B"/>
    <w:rsid w:val="00C7255F"/>
    <w:rsid w:val="00C76A4D"/>
    <w:rsid w:val="00C808A0"/>
    <w:rsid w:val="00C81461"/>
    <w:rsid w:val="00C8425D"/>
    <w:rsid w:val="00C85806"/>
    <w:rsid w:val="00C8610E"/>
    <w:rsid w:val="00C96C4D"/>
    <w:rsid w:val="00CA2992"/>
    <w:rsid w:val="00CA3A20"/>
    <w:rsid w:val="00CB03FD"/>
    <w:rsid w:val="00CB1992"/>
    <w:rsid w:val="00CB2B90"/>
    <w:rsid w:val="00CC38A2"/>
    <w:rsid w:val="00CC6DF0"/>
    <w:rsid w:val="00CD198C"/>
    <w:rsid w:val="00CD4796"/>
    <w:rsid w:val="00CD71D4"/>
    <w:rsid w:val="00CE6C7B"/>
    <w:rsid w:val="00CF4C13"/>
    <w:rsid w:val="00CF60D4"/>
    <w:rsid w:val="00CF6546"/>
    <w:rsid w:val="00D07551"/>
    <w:rsid w:val="00D1011B"/>
    <w:rsid w:val="00D10BC2"/>
    <w:rsid w:val="00D12FE9"/>
    <w:rsid w:val="00D14166"/>
    <w:rsid w:val="00D14601"/>
    <w:rsid w:val="00D147B8"/>
    <w:rsid w:val="00D1480C"/>
    <w:rsid w:val="00D17E78"/>
    <w:rsid w:val="00D2252D"/>
    <w:rsid w:val="00D25897"/>
    <w:rsid w:val="00D32474"/>
    <w:rsid w:val="00D43AD5"/>
    <w:rsid w:val="00D45A00"/>
    <w:rsid w:val="00D527D5"/>
    <w:rsid w:val="00D60668"/>
    <w:rsid w:val="00D622C6"/>
    <w:rsid w:val="00D713A0"/>
    <w:rsid w:val="00D73C9D"/>
    <w:rsid w:val="00D77BB7"/>
    <w:rsid w:val="00D87B41"/>
    <w:rsid w:val="00D90E17"/>
    <w:rsid w:val="00D920DE"/>
    <w:rsid w:val="00D93E00"/>
    <w:rsid w:val="00D94D1F"/>
    <w:rsid w:val="00D9586D"/>
    <w:rsid w:val="00D96114"/>
    <w:rsid w:val="00DA1D6D"/>
    <w:rsid w:val="00DA75BA"/>
    <w:rsid w:val="00DB06F7"/>
    <w:rsid w:val="00DD6CC2"/>
    <w:rsid w:val="00DE36FF"/>
    <w:rsid w:val="00DE5C0A"/>
    <w:rsid w:val="00DF2886"/>
    <w:rsid w:val="00E0475C"/>
    <w:rsid w:val="00E06DD0"/>
    <w:rsid w:val="00E10858"/>
    <w:rsid w:val="00E22AC1"/>
    <w:rsid w:val="00E2679F"/>
    <w:rsid w:val="00E302A0"/>
    <w:rsid w:val="00E32A68"/>
    <w:rsid w:val="00E35995"/>
    <w:rsid w:val="00E35CA9"/>
    <w:rsid w:val="00E402CD"/>
    <w:rsid w:val="00E4331D"/>
    <w:rsid w:val="00E43981"/>
    <w:rsid w:val="00E53A94"/>
    <w:rsid w:val="00E54940"/>
    <w:rsid w:val="00E647F0"/>
    <w:rsid w:val="00E752C5"/>
    <w:rsid w:val="00E75FA0"/>
    <w:rsid w:val="00E80B0E"/>
    <w:rsid w:val="00E82990"/>
    <w:rsid w:val="00E839C4"/>
    <w:rsid w:val="00E854C5"/>
    <w:rsid w:val="00E87879"/>
    <w:rsid w:val="00E87DA6"/>
    <w:rsid w:val="00E90578"/>
    <w:rsid w:val="00E91F1B"/>
    <w:rsid w:val="00E92936"/>
    <w:rsid w:val="00E9491F"/>
    <w:rsid w:val="00E951C2"/>
    <w:rsid w:val="00E968CB"/>
    <w:rsid w:val="00E97915"/>
    <w:rsid w:val="00EA0DB8"/>
    <w:rsid w:val="00EA5046"/>
    <w:rsid w:val="00EB1AFB"/>
    <w:rsid w:val="00EB1D38"/>
    <w:rsid w:val="00EB4C6E"/>
    <w:rsid w:val="00EC47D1"/>
    <w:rsid w:val="00ED049A"/>
    <w:rsid w:val="00ED0F55"/>
    <w:rsid w:val="00ED2BF2"/>
    <w:rsid w:val="00ED3DE1"/>
    <w:rsid w:val="00EF542F"/>
    <w:rsid w:val="00EF7163"/>
    <w:rsid w:val="00F070B5"/>
    <w:rsid w:val="00F1013B"/>
    <w:rsid w:val="00F14D45"/>
    <w:rsid w:val="00F21F92"/>
    <w:rsid w:val="00F23403"/>
    <w:rsid w:val="00F24B38"/>
    <w:rsid w:val="00F2757E"/>
    <w:rsid w:val="00F310C4"/>
    <w:rsid w:val="00F31938"/>
    <w:rsid w:val="00F32411"/>
    <w:rsid w:val="00F3776E"/>
    <w:rsid w:val="00F428C6"/>
    <w:rsid w:val="00F432DE"/>
    <w:rsid w:val="00F438BA"/>
    <w:rsid w:val="00F51356"/>
    <w:rsid w:val="00F54D65"/>
    <w:rsid w:val="00F60FF8"/>
    <w:rsid w:val="00F7462B"/>
    <w:rsid w:val="00F7592E"/>
    <w:rsid w:val="00F76A7E"/>
    <w:rsid w:val="00F7761E"/>
    <w:rsid w:val="00F84138"/>
    <w:rsid w:val="00F84761"/>
    <w:rsid w:val="00F91893"/>
    <w:rsid w:val="00F92845"/>
    <w:rsid w:val="00F93C3C"/>
    <w:rsid w:val="00F9724F"/>
    <w:rsid w:val="00FA0A39"/>
    <w:rsid w:val="00FB090D"/>
    <w:rsid w:val="00FB5B37"/>
    <w:rsid w:val="00FB72A1"/>
    <w:rsid w:val="00FC07F4"/>
    <w:rsid w:val="00FC3265"/>
    <w:rsid w:val="00FC6547"/>
    <w:rsid w:val="00FD3769"/>
    <w:rsid w:val="00FD4F90"/>
    <w:rsid w:val="00FD731F"/>
    <w:rsid w:val="00FE5F04"/>
    <w:rsid w:val="00FE671A"/>
    <w:rsid w:val="00FF6865"/>
    <w:rsid w:val="00FF72F3"/>
    <w:rsid w:val="00FF77F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23280"/>
  <w15:docId w15:val="{4B82F461-E041-4F44-84D0-D9A62E0D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4CB9"/>
    <w:rPr>
      <w:rFonts w:ascii="Arial" w:hAnsi="Arial"/>
      <w:sz w:val="22"/>
      <w:szCs w:val="22"/>
      <w:lang w:eastAsia="en-US"/>
    </w:rPr>
  </w:style>
  <w:style w:type="paragraph" w:styleId="Titolo1">
    <w:name w:val="heading 1"/>
    <w:basedOn w:val="Normale"/>
    <w:next w:val="Normale"/>
    <w:link w:val="Titolo1Carattere"/>
    <w:uiPriority w:val="9"/>
    <w:qFormat/>
    <w:rsid w:val="008806CC"/>
    <w:pPr>
      <w:keepNext/>
      <w:keepLines/>
      <w:numPr>
        <w:numId w:val="1"/>
      </w:numPr>
      <w:spacing w:before="480"/>
      <w:outlineLvl w:val="0"/>
    </w:pPr>
    <w:rPr>
      <w:rFonts w:eastAsia="Times New Roman"/>
      <w:b/>
      <w:bCs/>
      <w:sz w:val="24"/>
      <w:szCs w:val="28"/>
    </w:rPr>
  </w:style>
  <w:style w:type="paragraph" w:styleId="Titolo2">
    <w:name w:val="heading 2"/>
    <w:basedOn w:val="Normale"/>
    <w:next w:val="Normale"/>
    <w:link w:val="Titolo2Carattere"/>
    <w:uiPriority w:val="9"/>
    <w:qFormat/>
    <w:rsid w:val="008806CC"/>
    <w:pPr>
      <w:keepNext/>
      <w:keepLines/>
      <w:numPr>
        <w:ilvl w:val="1"/>
        <w:numId w:val="1"/>
      </w:numPr>
      <w:spacing w:before="200"/>
      <w:outlineLvl w:val="1"/>
    </w:pPr>
    <w:rPr>
      <w:rFonts w:eastAsia="Times New Roman"/>
      <w:b/>
      <w:bCs/>
      <w:szCs w:val="26"/>
    </w:rPr>
  </w:style>
  <w:style w:type="paragraph" w:styleId="Titolo3">
    <w:name w:val="heading 3"/>
    <w:basedOn w:val="Normale"/>
    <w:next w:val="Normale"/>
    <w:link w:val="Titolo3Carattere"/>
    <w:uiPriority w:val="9"/>
    <w:qFormat/>
    <w:rsid w:val="008806CC"/>
    <w:pPr>
      <w:keepNext/>
      <w:keepLines/>
      <w:numPr>
        <w:ilvl w:val="2"/>
        <w:numId w:val="1"/>
      </w:numPr>
      <w:spacing w:before="200"/>
      <w:outlineLvl w:val="2"/>
    </w:pPr>
    <w:rPr>
      <w:rFonts w:eastAsia="Times New Roman"/>
      <w:b/>
      <w:bCs/>
    </w:rPr>
  </w:style>
  <w:style w:type="paragraph" w:styleId="Titolo4">
    <w:name w:val="heading 4"/>
    <w:basedOn w:val="Normale"/>
    <w:next w:val="Normale"/>
    <w:link w:val="Titolo4Carattere"/>
    <w:uiPriority w:val="9"/>
    <w:qFormat/>
    <w:rsid w:val="008806CC"/>
    <w:pPr>
      <w:keepNext/>
      <w:keepLines/>
      <w:numPr>
        <w:ilvl w:val="3"/>
        <w:numId w:val="1"/>
      </w:numPr>
      <w:spacing w:before="200"/>
      <w:outlineLvl w:val="3"/>
    </w:pPr>
    <w:rPr>
      <w:rFonts w:eastAsia="Times New Roman"/>
      <w:b/>
      <w:bCs/>
      <w:iCs/>
    </w:rPr>
  </w:style>
  <w:style w:type="paragraph" w:styleId="Titolo5">
    <w:name w:val="heading 5"/>
    <w:basedOn w:val="Normale"/>
    <w:next w:val="Normale"/>
    <w:link w:val="Titolo5Carattere"/>
    <w:uiPriority w:val="9"/>
    <w:semiHidden/>
    <w:unhideWhenUsed/>
    <w:qFormat/>
    <w:rsid w:val="00F3776E"/>
    <w:pPr>
      <w:keepNext/>
      <w:keepLines/>
      <w:numPr>
        <w:ilvl w:val="4"/>
        <w:numId w:val="1"/>
      </w:numPr>
      <w:spacing w:before="200"/>
      <w:outlineLvl w:val="4"/>
    </w:pPr>
    <w:rPr>
      <w:rFonts w:ascii="Cambria" w:eastAsia="Times New Roman" w:hAnsi="Cambria"/>
      <w:color w:val="243F60"/>
    </w:rPr>
  </w:style>
  <w:style w:type="paragraph" w:styleId="Titolo6">
    <w:name w:val="heading 6"/>
    <w:basedOn w:val="Normale"/>
    <w:next w:val="Normale"/>
    <w:link w:val="Titolo6Carattere"/>
    <w:uiPriority w:val="9"/>
    <w:semiHidden/>
    <w:unhideWhenUsed/>
    <w:qFormat/>
    <w:rsid w:val="00F3776E"/>
    <w:pPr>
      <w:keepNext/>
      <w:keepLines/>
      <w:numPr>
        <w:ilvl w:val="5"/>
        <w:numId w:val="1"/>
      </w:numPr>
      <w:spacing w:before="200"/>
      <w:outlineLvl w:val="5"/>
    </w:pPr>
    <w:rPr>
      <w:rFonts w:ascii="Cambria" w:eastAsia="Times New Roman" w:hAnsi="Cambria"/>
      <w:i/>
      <w:iCs/>
      <w:color w:val="243F60"/>
    </w:rPr>
  </w:style>
  <w:style w:type="paragraph" w:styleId="Titolo7">
    <w:name w:val="heading 7"/>
    <w:basedOn w:val="Normale"/>
    <w:next w:val="Normale"/>
    <w:link w:val="Titolo7Carattere"/>
    <w:uiPriority w:val="9"/>
    <w:semiHidden/>
    <w:unhideWhenUsed/>
    <w:qFormat/>
    <w:rsid w:val="00F3776E"/>
    <w:pPr>
      <w:keepNext/>
      <w:keepLines/>
      <w:numPr>
        <w:ilvl w:val="6"/>
        <w:numId w:val="1"/>
      </w:numPr>
      <w:spacing w:before="200"/>
      <w:outlineLvl w:val="6"/>
    </w:pPr>
    <w:rPr>
      <w:rFonts w:ascii="Cambria" w:eastAsia="Times New Roman" w:hAnsi="Cambria"/>
      <w:i/>
      <w:iCs/>
      <w:color w:val="404040"/>
    </w:rPr>
  </w:style>
  <w:style w:type="paragraph" w:styleId="Titolo8">
    <w:name w:val="heading 8"/>
    <w:basedOn w:val="Normale"/>
    <w:next w:val="Normale"/>
    <w:link w:val="Titolo8Carattere"/>
    <w:uiPriority w:val="9"/>
    <w:semiHidden/>
    <w:unhideWhenUsed/>
    <w:qFormat/>
    <w:rsid w:val="00F3776E"/>
    <w:pPr>
      <w:keepNext/>
      <w:keepLines/>
      <w:numPr>
        <w:ilvl w:val="7"/>
        <w:numId w:val="1"/>
      </w:numPr>
      <w:spacing w:before="200"/>
      <w:outlineLvl w:val="7"/>
    </w:pPr>
    <w:rPr>
      <w:rFonts w:ascii="Cambria" w:eastAsia="Times New Roman" w:hAnsi="Cambria"/>
      <w:color w:val="404040"/>
      <w:sz w:val="20"/>
      <w:szCs w:val="20"/>
    </w:rPr>
  </w:style>
  <w:style w:type="paragraph" w:styleId="Titolo9">
    <w:name w:val="heading 9"/>
    <w:basedOn w:val="Normale"/>
    <w:next w:val="Normale"/>
    <w:link w:val="Titolo9Carattere"/>
    <w:uiPriority w:val="9"/>
    <w:semiHidden/>
    <w:unhideWhenUsed/>
    <w:qFormat/>
    <w:rsid w:val="00F3776E"/>
    <w:pPr>
      <w:keepNext/>
      <w:keepLines/>
      <w:numPr>
        <w:ilvl w:val="8"/>
        <w:numId w:val="1"/>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806CC"/>
    <w:rPr>
      <w:rFonts w:ascii="Arial" w:eastAsia="Times New Roman" w:hAnsi="Arial" w:cs="Times New Roman"/>
      <w:b/>
      <w:bCs/>
      <w:sz w:val="24"/>
      <w:szCs w:val="28"/>
    </w:rPr>
  </w:style>
  <w:style w:type="character" w:customStyle="1" w:styleId="Titolo2Carattere">
    <w:name w:val="Titolo 2 Carattere"/>
    <w:basedOn w:val="Carpredefinitoparagrafo"/>
    <w:link w:val="Titolo2"/>
    <w:uiPriority w:val="9"/>
    <w:rsid w:val="008806CC"/>
    <w:rPr>
      <w:rFonts w:ascii="Arial" w:eastAsia="Times New Roman" w:hAnsi="Arial" w:cs="Times New Roman"/>
      <w:b/>
      <w:bCs/>
      <w:szCs w:val="26"/>
    </w:rPr>
  </w:style>
  <w:style w:type="character" w:customStyle="1" w:styleId="Titolo3Carattere">
    <w:name w:val="Titolo 3 Carattere"/>
    <w:basedOn w:val="Carpredefinitoparagrafo"/>
    <w:link w:val="Titolo3"/>
    <w:uiPriority w:val="9"/>
    <w:rsid w:val="008806CC"/>
    <w:rPr>
      <w:rFonts w:ascii="Arial" w:eastAsia="Times New Roman" w:hAnsi="Arial" w:cs="Times New Roman"/>
      <w:b/>
      <w:bCs/>
    </w:rPr>
  </w:style>
  <w:style w:type="character" w:customStyle="1" w:styleId="Titolo4Carattere">
    <w:name w:val="Titolo 4 Carattere"/>
    <w:basedOn w:val="Carpredefinitoparagrafo"/>
    <w:link w:val="Titolo4"/>
    <w:uiPriority w:val="9"/>
    <w:rsid w:val="008806CC"/>
    <w:rPr>
      <w:rFonts w:ascii="Arial" w:eastAsia="Times New Roman" w:hAnsi="Arial" w:cs="Times New Roman"/>
      <w:b/>
      <w:bCs/>
      <w:iCs/>
    </w:rPr>
  </w:style>
  <w:style w:type="paragraph" w:styleId="Titolosommario">
    <w:name w:val="TOC Heading"/>
    <w:basedOn w:val="Titolo1"/>
    <w:next w:val="Normale"/>
    <w:uiPriority w:val="39"/>
    <w:semiHidden/>
    <w:unhideWhenUsed/>
    <w:qFormat/>
    <w:rsid w:val="002667D8"/>
    <w:pPr>
      <w:outlineLvl w:val="9"/>
    </w:pPr>
    <w:rPr>
      <w:b w:val="0"/>
    </w:rPr>
  </w:style>
  <w:style w:type="character" w:customStyle="1" w:styleId="Titolo5Carattere">
    <w:name w:val="Titolo 5 Carattere"/>
    <w:basedOn w:val="Carpredefinitoparagrafo"/>
    <w:link w:val="Titolo5"/>
    <w:uiPriority w:val="9"/>
    <w:semiHidden/>
    <w:rsid w:val="00F3776E"/>
    <w:rPr>
      <w:rFonts w:ascii="Cambria" w:eastAsia="Times New Roman" w:hAnsi="Cambria" w:cs="Times New Roman"/>
      <w:color w:val="243F60"/>
    </w:rPr>
  </w:style>
  <w:style w:type="character" w:customStyle="1" w:styleId="Titolo6Carattere">
    <w:name w:val="Titolo 6 Carattere"/>
    <w:basedOn w:val="Carpredefinitoparagrafo"/>
    <w:link w:val="Titolo6"/>
    <w:uiPriority w:val="9"/>
    <w:semiHidden/>
    <w:rsid w:val="00F3776E"/>
    <w:rPr>
      <w:rFonts w:ascii="Cambria" w:eastAsia="Times New Roman" w:hAnsi="Cambria" w:cs="Times New Roman"/>
      <w:i/>
      <w:iCs/>
      <w:color w:val="243F60"/>
    </w:rPr>
  </w:style>
  <w:style w:type="character" w:customStyle="1" w:styleId="Titolo7Carattere">
    <w:name w:val="Titolo 7 Carattere"/>
    <w:basedOn w:val="Carpredefinitoparagrafo"/>
    <w:link w:val="Titolo7"/>
    <w:uiPriority w:val="9"/>
    <w:semiHidden/>
    <w:rsid w:val="00F3776E"/>
    <w:rPr>
      <w:rFonts w:ascii="Cambria" w:eastAsia="Times New Roman" w:hAnsi="Cambria" w:cs="Times New Roman"/>
      <w:i/>
      <w:iCs/>
      <w:color w:val="404040"/>
    </w:rPr>
  </w:style>
  <w:style w:type="character" w:customStyle="1" w:styleId="Titolo8Carattere">
    <w:name w:val="Titolo 8 Carattere"/>
    <w:basedOn w:val="Carpredefinitoparagrafo"/>
    <w:link w:val="Titolo8"/>
    <w:uiPriority w:val="9"/>
    <w:semiHidden/>
    <w:rsid w:val="00F3776E"/>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uiPriority w:val="9"/>
    <w:semiHidden/>
    <w:rsid w:val="00F3776E"/>
    <w:rPr>
      <w:rFonts w:ascii="Cambria" w:eastAsia="Times New Roman" w:hAnsi="Cambria" w:cs="Times New Roman"/>
      <w:i/>
      <w:iCs/>
      <w:color w:val="404040"/>
      <w:sz w:val="20"/>
      <w:szCs w:val="20"/>
    </w:rPr>
  </w:style>
  <w:style w:type="paragraph" w:styleId="Intestazione">
    <w:name w:val="header"/>
    <w:basedOn w:val="Normale"/>
    <w:link w:val="IntestazioneCarattere"/>
    <w:uiPriority w:val="99"/>
    <w:unhideWhenUsed/>
    <w:rsid w:val="0091430D"/>
    <w:pPr>
      <w:tabs>
        <w:tab w:val="center" w:pos="4536"/>
        <w:tab w:val="right" w:pos="9072"/>
      </w:tabs>
    </w:pPr>
  </w:style>
  <w:style w:type="character" w:customStyle="1" w:styleId="IntestazioneCarattere">
    <w:name w:val="Intestazione Carattere"/>
    <w:basedOn w:val="Carpredefinitoparagrafo"/>
    <w:link w:val="Intestazione"/>
    <w:uiPriority w:val="99"/>
    <w:rsid w:val="0091430D"/>
    <w:rPr>
      <w:rFonts w:ascii="Arial" w:hAnsi="Arial"/>
    </w:rPr>
  </w:style>
  <w:style w:type="paragraph" w:styleId="Pidipagina">
    <w:name w:val="footer"/>
    <w:basedOn w:val="Normale"/>
    <w:link w:val="PidipaginaCarattere"/>
    <w:uiPriority w:val="99"/>
    <w:unhideWhenUsed/>
    <w:rsid w:val="0091430D"/>
    <w:pPr>
      <w:tabs>
        <w:tab w:val="center" w:pos="4536"/>
        <w:tab w:val="right" w:pos="9072"/>
      </w:tabs>
    </w:pPr>
  </w:style>
  <w:style w:type="character" w:customStyle="1" w:styleId="PidipaginaCarattere">
    <w:name w:val="Piè di pagina Carattere"/>
    <w:basedOn w:val="Carpredefinitoparagrafo"/>
    <w:link w:val="Pidipagina"/>
    <w:uiPriority w:val="99"/>
    <w:rsid w:val="0091430D"/>
    <w:rPr>
      <w:rFonts w:ascii="Arial" w:hAnsi="Arial"/>
    </w:rPr>
  </w:style>
  <w:style w:type="paragraph" w:styleId="Testofumetto">
    <w:name w:val="Balloon Text"/>
    <w:basedOn w:val="Normale"/>
    <w:link w:val="TestofumettoCarattere"/>
    <w:uiPriority w:val="99"/>
    <w:semiHidden/>
    <w:unhideWhenUsed/>
    <w:rsid w:val="0091430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1430D"/>
    <w:rPr>
      <w:rFonts w:ascii="Tahoma" w:hAnsi="Tahoma" w:cs="Tahoma"/>
      <w:sz w:val="16"/>
      <w:szCs w:val="16"/>
    </w:rPr>
  </w:style>
  <w:style w:type="character" w:styleId="Collegamentoipertestuale">
    <w:name w:val="Hyperlink"/>
    <w:basedOn w:val="Carpredefinitoparagrafo"/>
    <w:rsid w:val="00F070B5"/>
    <w:rPr>
      <w:color w:val="0000FF"/>
      <w:u w:val="single"/>
    </w:rPr>
  </w:style>
  <w:style w:type="paragraph" w:styleId="Paragrafoelenco">
    <w:name w:val="List Paragraph"/>
    <w:basedOn w:val="Normale"/>
    <w:uiPriority w:val="34"/>
    <w:qFormat/>
    <w:rsid w:val="00BB6E04"/>
    <w:pPr>
      <w:spacing w:after="200" w:line="276" w:lineRule="auto"/>
      <w:ind w:left="720"/>
      <w:contextualSpacing/>
    </w:pPr>
    <w:rPr>
      <w:rFonts w:asciiTheme="minorHAnsi" w:eastAsiaTheme="minorHAnsi" w:hAnsiTheme="minorHAnsi" w:cstheme="minorBidi"/>
    </w:rPr>
  </w:style>
  <w:style w:type="table" w:styleId="Grigliatabella">
    <w:name w:val="Table Grid"/>
    <w:basedOn w:val="Tabellanormale"/>
    <w:uiPriority w:val="59"/>
    <w:rsid w:val="003D4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274FE0"/>
    <w:rPr>
      <w:sz w:val="16"/>
      <w:szCs w:val="16"/>
    </w:rPr>
  </w:style>
  <w:style w:type="paragraph" w:styleId="Testocommento">
    <w:name w:val="annotation text"/>
    <w:basedOn w:val="Normale"/>
    <w:link w:val="TestocommentoCarattere"/>
    <w:uiPriority w:val="99"/>
    <w:unhideWhenUsed/>
    <w:rsid w:val="00274FE0"/>
    <w:rPr>
      <w:sz w:val="20"/>
      <w:szCs w:val="20"/>
    </w:rPr>
  </w:style>
  <w:style w:type="character" w:customStyle="1" w:styleId="TestocommentoCarattere">
    <w:name w:val="Testo commento Carattere"/>
    <w:basedOn w:val="Carpredefinitoparagrafo"/>
    <w:link w:val="Testocommento"/>
    <w:uiPriority w:val="99"/>
    <w:rsid w:val="00274FE0"/>
    <w:rPr>
      <w:rFonts w:ascii="Arial" w:hAnsi="Arial"/>
      <w:lang w:eastAsia="en-US"/>
    </w:rPr>
  </w:style>
  <w:style w:type="paragraph" w:styleId="Soggettocommento">
    <w:name w:val="annotation subject"/>
    <w:basedOn w:val="Testocommento"/>
    <w:next w:val="Testocommento"/>
    <w:link w:val="SoggettocommentoCarattere"/>
    <w:uiPriority w:val="99"/>
    <w:semiHidden/>
    <w:unhideWhenUsed/>
    <w:rsid w:val="00274FE0"/>
    <w:rPr>
      <w:b/>
      <w:bCs/>
    </w:rPr>
  </w:style>
  <w:style w:type="character" w:customStyle="1" w:styleId="SoggettocommentoCarattere">
    <w:name w:val="Soggetto commento Carattere"/>
    <w:basedOn w:val="TestocommentoCarattere"/>
    <w:link w:val="Soggettocommento"/>
    <w:uiPriority w:val="99"/>
    <w:semiHidden/>
    <w:rsid w:val="00274FE0"/>
    <w:rPr>
      <w:rFonts w:ascii="Arial" w:hAnsi="Arial"/>
      <w:b/>
      <w:bCs/>
      <w:lang w:eastAsia="en-US"/>
    </w:rPr>
  </w:style>
  <w:style w:type="paragraph" w:styleId="Revisione">
    <w:name w:val="Revision"/>
    <w:hidden/>
    <w:uiPriority w:val="99"/>
    <w:semiHidden/>
    <w:rsid w:val="00F54D65"/>
    <w:rPr>
      <w:rFonts w:ascii="Arial" w:hAnsi="Arial"/>
      <w:sz w:val="22"/>
      <w:szCs w:val="22"/>
      <w:lang w:eastAsia="en-US"/>
    </w:rPr>
  </w:style>
  <w:style w:type="character" w:styleId="Menzionenonrisolta">
    <w:name w:val="Unresolved Mention"/>
    <w:basedOn w:val="Carpredefinitoparagrafo"/>
    <w:uiPriority w:val="99"/>
    <w:semiHidden/>
    <w:unhideWhenUsed/>
    <w:rsid w:val="0077228B"/>
    <w:rPr>
      <w:color w:val="605E5C"/>
      <w:shd w:val="clear" w:color="auto" w:fill="E1DFDD"/>
    </w:rPr>
  </w:style>
  <w:style w:type="paragraph" w:styleId="Puntoelenco">
    <w:name w:val="List Bullet"/>
    <w:basedOn w:val="Normale"/>
    <w:uiPriority w:val="99"/>
    <w:semiHidden/>
    <w:unhideWhenUsed/>
    <w:rsid w:val="00042FDB"/>
    <w:pPr>
      <w:numPr>
        <w:numId w:val="7"/>
      </w:numPr>
      <w:spacing w:after="113" w:line="252" w:lineRule="auto"/>
      <w:ind w:left="0" w:firstLine="0"/>
      <w:contextualSpacing/>
    </w:pPr>
    <w:rPr>
      <w:rFonts w:ascii="Caecilia for LL Light" w:eastAsiaTheme="minorHAnsi" w:hAnsi="Caecilia for LL Light" w:cstheme="minorBidi"/>
      <w:kern w:val="2"/>
      <w:sz w:val="19"/>
      <w:lang w:val="sv-S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350">
      <w:bodyDiv w:val="1"/>
      <w:marLeft w:val="0"/>
      <w:marRight w:val="0"/>
      <w:marTop w:val="0"/>
      <w:marBottom w:val="0"/>
      <w:divBdr>
        <w:top w:val="none" w:sz="0" w:space="0" w:color="auto"/>
        <w:left w:val="none" w:sz="0" w:space="0" w:color="auto"/>
        <w:bottom w:val="none" w:sz="0" w:space="0" w:color="auto"/>
        <w:right w:val="none" w:sz="0" w:space="0" w:color="auto"/>
      </w:divBdr>
    </w:div>
    <w:div w:id="117258137">
      <w:bodyDiv w:val="1"/>
      <w:marLeft w:val="0"/>
      <w:marRight w:val="0"/>
      <w:marTop w:val="0"/>
      <w:marBottom w:val="0"/>
      <w:divBdr>
        <w:top w:val="none" w:sz="0" w:space="0" w:color="auto"/>
        <w:left w:val="none" w:sz="0" w:space="0" w:color="auto"/>
        <w:bottom w:val="none" w:sz="0" w:space="0" w:color="auto"/>
        <w:right w:val="none" w:sz="0" w:space="0" w:color="auto"/>
      </w:divBdr>
    </w:div>
    <w:div w:id="122819009">
      <w:bodyDiv w:val="1"/>
      <w:marLeft w:val="0"/>
      <w:marRight w:val="0"/>
      <w:marTop w:val="0"/>
      <w:marBottom w:val="0"/>
      <w:divBdr>
        <w:top w:val="none" w:sz="0" w:space="0" w:color="auto"/>
        <w:left w:val="none" w:sz="0" w:space="0" w:color="auto"/>
        <w:bottom w:val="none" w:sz="0" w:space="0" w:color="auto"/>
        <w:right w:val="none" w:sz="0" w:space="0" w:color="auto"/>
      </w:divBdr>
    </w:div>
    <w:div w:id="302201925">
      <w:bodyDiv w:val="1"/>
      <w:marLeft w:val="0"/>
      <w:marRight w:val="0"/>
      <w:marTop w:val="0"/>
      <w:marBottom w:val="0"/>
      <w:divBdr>
        <w:top w:val="none" w:sz="0" w:space="0" w:color="auto"/>
        <w:left w:val="none" w:sz="0" w:space="0" w:color="auto"/>
        <w:bottom w:val="none" w:sz="0" w:space="0" w:color="auto"/>
        <w:right w:val="none" w:sz="0" w:space="0" w:color="auto"/>
      </w:divBdr>
    </w:div>
    <w:div w:id="313414559">
      <w:bodyDiv w:val="1"/>
      <w:marLeft w:val="0"/>
      <w:marRight w:val="0"/>
      <w:marTop w:val="0"/>
      <w:marBottom w:val="0"/>
      <w:divBdr>
        <w:top w:val="none" w:sz="0" w:space="0" w:color="auto"/>
        <w:left w:val="none" w:sz="0" w:space="0" w:color="auto"/>
        <w:bottom w:val="none" w:sz="0" w:space="0" w:color="auto"/>
        <w:right w:val="none" w:sz="0" w:space="0" w:color="auto"/>
      </w:divBdr>
    </w:div>
    <w:div w:id="374235619">
      <w:bodyDiv w:val="1"/>
      <w:marLeft w:val="0"/>
      <w:marRight w:val="0"/>
      <w:marTop w:val="0"/>
      <w:marBottom w:val="0"/>
      <w:divBdr>
        <w:top w:val="none" w:sz="0" w:space="0" w:color="auto"/>
        <w:left w:val="none" w:sz="0" w:space="0" w:color="auto"/>
        <w:bottom w:val="none" w:sz="0" w:space="0" w:color="auto"/>
        <w:right w:val="none" w:sz="0" w:space="0" w:color="auto"/>
      </w:divBdr>
    </w:div>
    <w:div w:id="377974984">
      <w:bodyDiv w:val="1"/>
      <w:marLeft w:val="0"/>
      <w:marRight w:val="0"/>
      <w:marTop w:val="0"/>
      <w:marBottom w:val="0"/>
      <w:divBdr>
        <w:top w:val="none" w:sz="0" w:space="0" w:color="auto"/>
        <w:left w:val="none" w:sz="0" w:space="0" w:color="auto"/>
        <w:bottom w:val="none" w:sz="0" w:space="0" w:color="auto"/>
        <w:right w:val="none" w:sz="0" w:space="0" w:color="auto"/>
      </w:divBdr>
    </w:div>
    <w:div w:id="568615335">
      <w:bodyDiv w:val="1"/>
      <w:marLeft w:val="0"/>
      <w:marRight w:val="0"/>
      <w:marTop w:val="0"/>
      <w:marBottom w:val="0"/>
      <w:divBdr>
        <w:top w:val="none" w:sz="0" w:space="0" w:color="auto"/>
        <w:left w:val="none" w:sz="0" w:space="0" w:color="auto"/>
        <w:bottom w:val="none" w:sz="0" w:space="0" w:color="auto"/>
        <w:right w:val="none" w:sz="0" w:space="0" w:color="auto"/>
      </w:divBdr>
    </w:div>
    <w:div w:id="638921744">
      <w:bodyDiv w:val="1"/>
      <w:marLeft w:val="0"/>
      <w:marRight w:val="0"/>
      <w:marTop w:val="0"/>
      <w:marBottom w:val="0"/>
      <w:divBdr>
        <w:top w:val="none" w:sz="0" w:space="0" w:color="auto"/>
        <w:left w:val="none" w:sz="0" w:space="0" w:color="auto"/>
        <w:bottom w:val="none" w:sz="0" w:space="0" w:color="auto"/>
        <w:right w:val="none" w:sz="0" w:space="0" w:color="auto"/>
      </w:divBdr>
      <w:divsChild>
        <w:div w:id="1954825318">
          <w:marLeft w:val="0"/>
          <w:marRight w:val="0"/>
          <w:marTop w:val="0"/>
          <w:marBottom w:val="0"/>
          <w:divBdr>
            <w:top w:val="none" w:sz="0" w:space="0" w:color="auto"/>
            <w:left w:val="none" w:sz="0" w:space="0" w:color="auto"/>
            <w:bottom w:val="none" w:sz="0" w:space="0" w:color="auto"/>
            <w:right w:val="none" w:sz="0" w:space="0" w:color="auto"/>
          </w:divBdr>
        </w:div>
      </w:divsChild>
    </w:div>
    <w:div w:id="736828688">
      <w:bodyDiv w:val="1"/>
      <w:marLeft w:val="0"/>
      <w:marRight w:val="0"/>
      <w:marTop w:val="0"/>
      <w:marBottom w:val="0"/>
      <w:divBdr>
        <w:top w:val="none" w:sz="0" w:space="0" w:color="auto"/>
        <w:left w:val="none" w:sz="0" w:space="0" w:color="auto"/>
        <w:bottom w:val="none" w:sz="0" w:space="0" w:color="auto"/>
        <w:right w:val="none" w:sz="0" w:space="0" w:color="auto"/>
      </w:divBdr>
    </w:div>
    <w:div w:id="761533666">
      <w:bodyDiv w:val="1"/>
      <w:marLeft w:val="0"/>
      <w:marRight w:val="0"/>
      <w:marTop w:val="0"/>
      <w:marBottom w:val="0"/>
      <w:divBdr>
        <w:top w:val="none" w:sz="0" w:space="0" w:color="auto"/>
        <w:left w:val="none" w:sz="0" w:space="0" w:color="auto"/>
        <w:bottom w:val="none" w:sz="0" w:space="0" w:color="auto"/>
        <w:right w:val="none" w:sz="0" w:space="0" w:color="auto"/>
      </w:divBdr>
    </w:div>
    <w:div w:id="905067985">
      <w:bodyDiv w:val="1"/>
      <w:marLeft w:val="0"/>
      <w:marRight w:val="0"/>
      <w:marTop w:val="0"/>
      <w:marBottom w:val="0"/>
      <w:divBdr>
        <w:top w:val="none" w:sz="0" w:space="0" w:color="auto"/>
        <w:left w:val="none" w:sz="0" w:space="0" w:color="auto"/>
        <w:bottom w:val="none" w:sz="0" w:space="0" w:color="auto"/>
        <w:right w:val="none" w:sz="0" w:space="0" w:color="auto"/>
      </w:divBdr>
    </w:div>
    <w:div w:id="1083647468">
      <w:bodyDiv w:val="1"/>
      <w:marLeft w:val="0"/>
      <w:marRight w:val="0"/>
      <w:marTop w:val="0"/>
      <w:marBottom w:val="0"/>
      <w:divBdr>
        <w:top w:val="none" w:sz="0" w:space="0" w:color="auto"/>
        <w:left w:val="none" w:sz="0" w:space="0" w:color="auto"/>
        <w:bottom w:val="none" w:sz="0" w:space="0" w:color="auto"/>
        <w:right w:val="none" w:sz="0" w:space="0" w:color="auto"/>
      </w:divBdr>
    </w:div>
    <w:div w:id="1546596562">
      <w:bodyDiv w:val="1"/>
      <w:marLeft w:val="0"/>
      <w:marRight w:val="0"/>
      <w:marTop w:val="0"/>
      <w:marBottom w:val="0"/>
      <w:divBdr>
        <w:top w:val="none" w:sz="0" w:space="0" w:color="auto"/>
        <w:left w:val="none" w:sz="0" w:space="0" w:color="auto"/>
        <w:bottom w:val="none" w:sz="0" w:space="0" w:color="auto"/>
        <w:right w:val="none" w:sz="0" w:space="0" w:color="auto"/>
      </w:divBdr>
      <w:divsChild>
        <w:div w:id="1315261718">
          <w:marLeft w:val="0"/>
          <w:marRight w:val="0"/>
          <w:marTop w:val="0"/>
          <w:marBottom w:val="0"/>
          <w:divBdr>
            <w:top w:val="none" w:sz="0" w:space="0" w:color="auto"/>
            <w:left w:val="none" w:sz="0" w:space="0" w:color="auto"/>
            <w:bottom w:val="none" w:sz="0" w:space="0" w:color="auto"/>
            <w:right w:val="none" w:sz="0" w:space="0" w:color="auto"/>
          </w:divBdr>
        </w:div>
      </w:divsChild>
    </w:div>
    <w:div w:id="1559047487">
      <w:bodyDiv w:val="1"/>
      <w:marLeft w:val="0"/>
      <w:marRight w:val="0"/>
      <w:marTop w:val="0"/>
      <w:marBottom w:val="0"/>
      <w:divBdr>
        <w:top w:val="none" w:sz="0" w:space="0" w:color="auto"/>
        <w:left w:val="none" w:sz="0" w:space="0" w:color="auto"/>
        <w:bottom w:val="none" w:sz="0" w:space="0" w:color="auto"/>
        <w:right w:val="none" w:sz="0" w:space="0" w:color="auto"/>
      </w:divBdr>
    </w:div>
    <w:div w:id="1625042067">
      <w:bodyDiv w:val="1"/>
      <w:marLeft w:val="0"/>
      <w:marRight w:val="0"/>
      <w:marTop w:val="0"/>
      <w:marBottom w:val="0"/>
      <w:divBdr>
        <w:top w:val="none" w:sz="0" w:space="0" w:color="auto"/>
        <w:left w:val="none" w:sz="0" w:space="0" w:color="auto"/>
        <w:bottom w:val="none" w:sz="0" w:space="0" w:color="auto"/>
        <w:right w:val="none" w:sz="0" w:space="0" w:color="auto"/>
      </w:divBdr>
    </w:div>
    <w:div w:id="1627660385">
      <w:bodyDiv w:val="1"/>
      <w:marLeft w:val="0"/>
      <w:marRight w:val="0"/>
      <w:marTop w:val="0"/>
      <w:marBottom w:val="0"/>
      <w:divBdr>
        <w:top w:val="none" w:sz="0" w:space="0" w:color="auto"/>
        <w:left w:val="none" w:sz="0" w:space="0" w:color="auto"/>
        <w:bottom w:val="none" w:sz="0" w:space="0" w:color="auto"/>
        <w:right w:val="none" w:sz="0" w:space="0" w:color="auto"/>
      </w:divBdr>
      <w:divsChild>
        <w:div w:id="1505438155">
          <w:marLeft w:val="0"/>
          <w:marRight w:val="0"/>
          <w:marTop w:val="0"/>
          <w:marBottom w:val="0"/>
          <w:divBdr>
            <w:top w:val="none" w:sz="0" w:space="0" w:color="auto"/>
            <w:left w:val="none" w:sz="0" w:space="0" w:color="auto"/>
            <w:bottom w:val="none" w:sz="0" w:space="0" w:color="auto"/>
            <w:right w:val="none" w:sz="0" w:space="0" w:color="auto"/>
          </w:divBdr>
        </w:div>
      </w:divsChild>
    </w:div>
    <w:div w:id="1664429757">
      <w:bodyDiv w:val="1"/>
      <w:marLeft w:val="0"/>
      <w:marRight w:val="0"/>
      <w:marTop w:val="0"/>
      <w:marBottom w:val="0"/>
      <w:divBdr>
        <w:top w:val="none" w:sz="0" w:space="0" w:color="auto"/>
        <w:left w:val="none" w:sz="0" w:space="0" w:color="auto"/>
        <w:bottom w:val="none" w:sz="0" w:space="0" w:color="auto"/>
        <w:right w:val="none" w:sz="0" w:space="0" w:color="auto"/>
      </w:divBdr>
    </w:div>
    <w:div w:id="1864050289">
      <w:bodyDiv w:val="1"/>
      <w:marLeft w:val="0"/>
      <w:marRight w:val="0"/>
      <w:marTop w:val="0"/>
      <w:marBottom w:val="0"/>
      <w:divBdr>
        <w:top w:val="none" w:sz="0" w:space="0" w:color="auto"/>
        <w:left w:val="none" w:sz="0" w:space="0" w:color="auto"/>
        <w:bottom w:val="none" w:sz="0" w:space="0" w:color="auto"/>
        <w:right w:val="none" w:sz="0" w:space="0" w:color="auto"/>
      </w:divBdr>
    </w:div>
    <w:div w:id="1963271133">
      <w:bodyDiv w:val="1"/>
      <w:marLeft w:val="0"/>
      <w:marRight w:val="0"/>
      <w:marTop w:val="0"/>
      <w:marBottom w:val="0"/>
      <w:divBdr>
        <w:top w:val="none" w:sz="0" w:space="0" w:color="auto"/>
        <w:left w:val="none" w:sz="0" w:space="0" w:color="auto"/>
        <w:bottom w:val="none" w:sz="0" w:space="0" w:color="auto"/>
        <w:right w:val="none" w:sz="0" w:space="0" w:color="auto"/>
      </w:divBdr>
      <w:divsChild>
        <w:div w:id="2117676263">
          <w:marLeft w:val="0"/>
          <w:marRight w:val="0"/>
          <w:marTop w:val="0"/>
          <w:marBottom w:val="0"/>
          <w:divBdr>
            <w:top w:val="none" w:sz="0" w:space="0" w:color="auto"/>
            <w:left w:val="none" w:sz="0" w:space="0" w:color="auto"/>
            <w:bottom w:val="none" w:sz="0" w:space="0" w:color="auto"/>
            <w:right w:val="none" w:sz="0" w:space="0" w:color="auto"/>
          </w:divBdr>
          <w:divsChild>
            <w:div w:id="142411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34980">
      <w:bodyDiv w:val="1"/>
      <w:marLeft w:val="0"/>
      <w:marRight w:val="0"/>
      <w:marTop w:val="0"/>
      <w:marBottom w:val="0"/>
      <w:divBdr>
        <w:top w:val="none" w:sz="0" w:space="0" w:color="auto"/>
        <w:left w:val="none" w:sz="0" w:space="0" w:color="auto"/>
        <w:bottom w:val="none" w:sz="0" w:space="0" w:color="auto"/>
        <w:right w:val="none" w:sz="0" w:space="0" w:color="auto"/>
      </w:divBdr>
      <w:divsChild>
        <w:div w:id="482818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idenhain.it"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F7CF-7A8D-49D3-B7A5-AC0AA118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1796</Words>
  <Characters>10243</Characters>
  <Application>Microsoft Office Word</Application>
  <DocSecurity>0</DocSecurity>
  <Lines>85</Lines>
  <Paragraphs>24</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DR. JOHANNES HEIDENHAIN GmbH</Company>
  <LinksUpToDate>false</LinksUpToDate>
  <CharactersWithSpaces>12015</CharactersWithSpaces>
  <SharedDoc>false</SharedDoc>
  <HLinks>
    <vt:vector size="12" baseType="variant">
      <vt:variant>
        <vt:i4>3932179</vt:i4>
      </vt:variant>
      <vt:variant>
        <vt:i4>3</vt:i4>
      </vt:variant>
      <vt:variant>
        <vt:i4>0</vt:i4>
      </vt:variant>
      <vt:variant>
        <vt:i4>5</vt:i4>
      </vt:variant>
      <vt:variant>
        <vt:lpwstr>mailto:muthmann@heidenhain.de</vt:lpwstr>
      </vt:variant>
      <vt:variant>
        <vt:lpwstr/>
      </vt:variant>
      <vt:variant>
        <vt:i4>327764</vt:i4>
      </vt:variant>
      <vt:variant>
        <vt:i4>0</vt:i4>
      </vt:variant>
      <vt:variant>
        <vt:i4>0</vt:i4>
      </vt:variant>
      <vt:variant>
        <vt:i4>5</vt:i4>
      </vt:variant>
      <vt:variant>
        <vt:lpwstr>http://www.heidenhain.de/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dc:creator>
  <cp:lastModifiedBy>Nobile Micaela</cp:lastModifiedBy>
  <cp:revision>3</cp:revision>
  <cp:lastPrinted>2025-05-09T12:21:00Z</cp:lastPrinted>
  <dcterms:created xsi:type="dcterms:W3CDTF">2026-05-07T13:38:00Z</dcterms:created>
  <dcterms:modified xsi:type="dcterms:W3CDTF">2026-05-08T15:32:00Z</dcterms:modified>
</cp:coreProperties>
</file>